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26851C" w14:textId="2C365F2E" w:rsidR="002A2C62" w:rsidRPr="00C07C8A" w:rsidRDefault="002A2C62" w:rsidP="002A2C62">
      <w:pPr>
        <w:jc w:val="center"/>
        <w:rPr>
          <w:sz w:val="40"/>
          <w:szCs w:val="40"/>
        </w:rPr>
      </w:pPr>
      <w:r w:rsidRPr="00C07C8A">
        <w:rPr>
          <w:sz w:val="40"/>
          <w:szCs w:val="40"/>
        </w:rPr>
        <w:t>Civil Wars</w:t>
      </w:r>
    </w:p>
    <w:p w14:paraId="3CEE3CC1" w14:textId="1F817300" w:rsidR="00235669" w:rsidRPr="00C07C8A" w:rsidRDefault="00235669" w:rsidP="002A2C62">
      <w:pPr>
        <w:jc w:val="center"/>
        <w:rPr>
          <w:sz w:val="28"/>
          <w:szCs w:val="28"/>
        </w:rPr>
      </w:pPr>
      <w:r w:rsidRPr="00C07C8A">
        <w:rPr>
          <w:sz w:val="28"/>
          <w:szCs w:val="28"/>
        </w:rPr>
        <w:t>Dr. Gabriella Levy</w:t>
      </w:r>
    </w:p>
    <w:p w14:paraId="4DC87C9B" w14:textId="77777777" w:rsidR="002A2C62" w:rsidRPr="00C07C8A" w:rsidRDefault="002A2C62" w:rsidP="002A2C62"/>
    <w:p w14:paraId="1F612445" w14:textId="07294C2D" w:rsidR="002A2C62" w:rsidRPr="00C07C8A" w:rsidRDefault="002A2C62" w:rsidP="002A2C62">
      <w:pPr>
        <w:rPr>
          <w:b/>
        </w:rPr>
      </w:pPr>
      <w:r w:rsidRPr="00C07C8A">
        <w:t xml:space="preserve">Instructor: </w:t>
      </w:r>
      <w:r w:rsidR="00235669" w:rsidRPr="00C07C8A">
        <w:t xml:space="preserve">Dr. </w:t>
      </w:r>
      <w:r w:rsidRPr="00C07C8A">
        <w:t>Gabriella Levy (gabriella</w:t>
      </w:r>
      <w:r w:rsidR="00EC311D">
        <w:t>_levy@brown.edu</w:t>
      </w:r>
      <w:r w:rsidRPr="00C07C8A">
        <w:t>)</w:t>
      </w:r>
    </w:p>
    <w:p w14:paraId="3F5DE09F" w14:textId="770B87C6" w:rsidR="00235669" w:rsidRPr="00B66E1E" w:rsidRDefault="00235669" w:rsidP="00235669">
      <w:r w:rsidRPr="00B66E1E">
        <w:t xml:space="preserve">Class Time: </w:t>
      </w:r>
    </w:p>
    <w:p w14:paraId="0F7F0F7A" w14:textId="4ECC648C" w:rsidR="00235669" w:rsidRPr="00B66E1E" w:rsidRDefault="00235669" w:rsidP="00235669">
      <w:r w:rsidRPr="00B66E1E">
        <w:t xml:space="preserve">Class Location: </w:t>
      </w:r>
    </w:p>
    <w:p w14:paraId="18817B63" w14:textId="123A1CF0" w:rsidR="00235669" w:rsidRDefault="00235669" w:rsidP="00235669">
      <w:r w:rsidRPr="00B66E1E">
        <w:t xml:space="preserve">Office Hour: </w:t>
      </w:r>
    </w:p>
    <w:p w14:paraId="3A67440E" w14:textId="5A74E101" w:rsidR="00235669" w:rsidRPr="00B66E1E" w:rsidRDefault="00235669" w:rsidP="00235669">
      <w:r>
        <w:t xml:space="preserve">Office Hour Location: </w:t>
      </w:r>
    </w:p>
    <w:p w14:paraId="194D98B3" w14:textId="77777777" w:rsidR="002A2C62" w:rsidRPr="005F3225" w:rsidRDefault="002A2C62" w:rsidP="002A2C62"/>
    <w:p w14:paraId="50E7C77E" w14:textId="77777777" w:rsidR="002A2C62" w:rsidRPr="005F3225" w:rsidRDefault="002A2C62" w:rsidP="002A2C62">
      <w:pPr>
        <w:rPr>
          <w:b/>
        </w:rPr>
      </w:pPr>
      <w:r w:rsidRPr="005F3225">
        <w:rPr>
          <w:b/>
        </w:rPr>
        <w:t>Course Overview:</w:t>
      </w:r>
    </w:p>
    <w:p w14:paraId="66DD1D04" w14:textId="77777777" w:rsidR="002A2C62" w:rsidRPr="005F3225" w:rsidRDefault="002A2C62" w:rsidP="002A2C62">
      <w:pPr>
        <w:rPr>
          <w:b/>
        </w:rPr>
      </w:pPr>
    </w:p>
    <w:p w14:paraId="4BAF000A" w14:textId="08E53026" w:rsidR="002A2C62" w:rsidRDefault="002A2C62" w:rsidP="002A2C62">
      <w:r>
        <w:t xml:space="preserve">This course is aimed at graduate student in Political Science. Students will study the causes of civil war; consider conflict processes such as violence, governance, and armed group fragmentation; and examine how armed actors make and keep peace. We will also study the legacies of conflict and question the relationship between criminal groups and rebel groups. Throughout this course, we will examine explanations for a variety of phenomena from three levels: the micro-level (e.g. the individual), the meso-level (e.g. the armed group), and the macro-level (e.g. the country). </w:t>
      </w:r>
    </w:p>
    <w:p w14:paraId="283B46CE" w14:textId="0518209C" w:rsidR="00830E71" w:rsidRDefault="00830E71" w:rsidP="002A2C62"/>
    <w:p w14:paraId="09A7B700" w14:textId="37F76D28" w:rsidR="00830E71" w:rsidRPr="005F3225" w:rsidRDefault="00830E71" w:rsidP="002A2C62">
      <w:r>
        <w:t xml:space="preserve">This is a discussion-based course, meaning that students will be expected to critically but respectfully evaluate arguments presented by authors, peers, and the professor. The course is also designed to help build students’ skills as researchers and political scientists; students will conduct reviews of published papers, and they will put together a research proposal at the end of the semester. </w:t>
      </w:r>
    </w:p>
    <w:p w14:paraId="13A15474" w14:textId="77777777" w:rsidR="002A2C62" w:rsidRPr="005F3225" w:rsidRDefault="002A2C62" w:rsidP="002A2C62">
      <w:pPr>
        <w:rPr>
          <w:b/>
        </w:rPr>
      </w:pPr>
    </w:p>
    <w:p w14:paraId="2F31B14C" w14:textId="77777777" w:rsidR="002A2C62" w:rsidRPr="005F3225" w:rsidRDefault="002A2C62" w:rsidP="002A2C62">
      <w:pPr>
        <w:rPr>
          <w:b/>
        </w:rPr>
      </w:pPr>
      <w:r w:rsidRPr="005F3225">
        <w:rPr>
          <w:b/>
        </w:rPr>
        <w:t>Required Readings:</w:t>
      </w:r>
    </w:p>
    <w:p w14:paraId="206B6B35" w14:textId="77777777" w:rsidR="002A2C62" w:rsidRPr="005F3225" w:rsidRDefault="002A2C62" w:rsidP="002A2C62">
      <w:pPr>
        <w:rPr>
          <w:b/>
        </w:rPr>
      </w:pPr>
    </w:p>
    <w:p w14:paraId="1995ABC3" w14:textId="19E9A7A2" w:rsidR="002A2C62" w:rsidRDefault="002A2C62" w:rsidP="002A2C62">
      <w:r w:rsidRPr="005F3225">
        <w:t>You are expected to come to class having read the pages assigned for that day</w:t>
      </w:r>
      <w:r>
        <w:t>.</w:t>
      </w:r>
      <w:r w:rsidRPr="005F3225">
        <w:t xml:space="preserve"> </w:t>
      </w:r>
      <w:r w:rsidR="00331276">
        <w:t>Journal</w:t>
      </w:r>
      <w:r>
        <w:t xml:space="preserve"> articles are available online</w:t>
      </w:r>
      <w:r w:rsidR="00331276">
        <w:t xml:space="preserve">. </w:t>
      </w:r>
      <w:r w:rsidR="0053580D">
        <w:t xml:space="preserve">All assigned books besides Arjona (2016), Kalyvas (2006), and Wood (2003) are </w:t>
      </w:r>
      <w:r>
        <w:t xml:space="preserve">available in their entirety online via </w:t>
      </w:r>
      <w:r w:rsidR="00331276">
        <w:t>Brown</w:t>
      </w:r>
      <w:r>
        <w:t xml:space="preserve"> Libraries. </w:t>
      </w:r>
    </w:p>
    <w:p w14:paraId="44E6AB85" w14:textId="77777777" w:rsidR="002A2C62" w:rsidRPr="005F3225" w:rsidRDefault="002A2C62" w:rsidP="002A2C62">
      <w:pPr>
        <w:rPr>
          <w:b/>
        </w:rPr>
      </w:pPr>
    </w:p>
    <w:p w14:paraId="604EDC4A" w14:textId="77777777" w:rsidR="002A2C62" w:rsidRPr="005F3225" w:rsidRDefault="002A2C62" w:rsidP="002A2C62">
      <w:pPr>
        <w:rPr>
          <w:b/>
        </w:rPr>
      </w:pPr>
      <w:r w:rsidRPr="005F3225">
        <w:rPr>
          <w:b/>
        </w:rPr>
        <w:t>Assignments:</w:t>
      </w:r>
    </w:p>
    <w:p w14:paraId="4C65EDF4" w14:textId="77777777" w:rsidR="002A2C62" w:rsidRPr="005F3225" w:rsidRDefault="002A2C62" w:rsidP="002A2C62">
      <w:pPr>
        <w:rPr>
          <w:b/>
        </w:rPr>
      </w:pPr>
    </w:p>
    <w:tbl>
      <w:tblPr>
        <w:tblStyle w:val="TableGrid"/>
        <w:tblW w:w="0" w:type="auto"/>
        <w:tblLook w:val="04A0" w:firstRow="1" w:lastRow="0" w:firstColumn="1" w:lastColumn="0" w:noHBand="0" w:noVBand="1"/>
      </w:tblPr>
      <w:tblGrid>
        <w:gridCol w:w="1525"/>
        <w:gridCol w:w="1440"/>
        <w:gridCol w:w="4140"/>
        <w:gridCol w:w="2245"/>
      </w:tblGrid>
      <w:tr w:rsidR="002A2C62" w:rsidRPr="005F3225" w14:paraId="5EA5AECB" w14:textId="77777777" w:rsidTr="00821572">
        <w:tc>
          <w:tcPr>
            <w:tcW w:w="1525" w:type="dxa"/>
          </w:tcPr>
          <w:p w14:paraId="7D669921" w14:textId="77777777" w:rsidR="002A2C62" w:rsidRPr="005F3225" w:rsidRDefault="002A2C62" w:rsidP="00821572">
            <w:pPr>
              <w:rPr>
                <w:i/>
              </w:rPr>
            </w:pPr>
            <w:r w:rsidRPr="005F3225">
              <w:rPr>
                <w:i/>
              </w:rPr>
              <w:t>Assignment</w:t>
            </w:r>
          </w:p>
        </w:tc>
        <w:tc>
          <w:tcPr>
            <w:tcW w:w="1440" w:type="dxa"/>
          </w:tcPr>
          <w:p w14:paraId="640D91FA" w14:textId="77777777" w:rsidR="002A2C62" w:rsidRPr="005F3225" w:rsidRDefault="002A2C62" w:rsidP="00821572">
            <w:pPr>
              <w:rPr>
                <w:i/>
              </w:rPr>
            </w:pPr>
            <w:r w:rsidRPr="005F3225">
              <w:rPr>
                <w:i/>
              </w:rPr>
              <w:t>Percentage</w:t>
            </w:r>
          </w:p>
        </w:tc>
        <w:tc>
          <w:tcPr>
            <w:tcW w:w="4140" w:type="dxa"/>
          </w:tcPr>
          <w:p w14:paraId="77A621EC" w14:textId="77777777" w:rsidR="002A2C62" w:rsidRPr="005F3225" w:rsidRDefault="002A2C62" w:rsidP="00821572">
            <w:pPr>
              <w:rPr>
                <w:i/>
              </w:rPr>
            </w:pPr>
            <w:r w:rsidRPr="005F3225">
              <w:rPr>
                <w:i/>
              </w:rPr>
              <w:t>How it will be assessed</w:t>
            </w:r>
          </w:p>
        </w:tc>
        <w:tc>
          <w:tcPr>
            <w:tcW w:w="2245" w:type="dxa"/>
          </w:tcPr>
          <w:p w14:paraId="3B704F79" w14:textId="77777777" w:rsidR="002A2C62" w:rsidRPr="005F3225" w:rsidRDefault="002A2C62" w:rsidP="00821572">
            <w:pPr>
              <w:rPr>
                <w:i/>
              </w:rPr>
            </w:pPr>
            <w:r w:rsidRPr="005F3225">
              <w:rPr>
                <w:i/>
              </w:rPr>
              <w:t>Date</w:t>
            </w:r>
          </w:p>
        </w:tc>
      </w:tr>
      <w:tr w:rsidR="002A2C62" w:rsidRPr="005F3225" w14:paraId="43C497DD" w14:textId="77777777" w:rsidTr="00821572">
        <w:tc>
          <w:tcPr>
            <w:tcW w:w="1525" w:type="dxa"/>
          </w:tcPr>
          <w:p w14:paraId="152F99C9" w14:textId="77777777" w:rsidR="002A2C62" w:rsidRPr="005F3225" w:rsidRDefault="002A2C62" w:rsidP="00821572">
            <w:r w:rsidRPr="005F3225">
              <w:t>Participation</w:t>
            </w:r>
          </w:p>
        </w:tc>
        <w:tc>
          <w:tcPr>
            <w:tcW w:w="1440" w:type="dxa"/>
          </w:tcPr>
          <w:p w14:paraId="5E2B670B" w14:textId="77777777" w:rsidR="002A2C62" w:rsidRPr="005F3225" w:rsidRDefault="002A2C62" w:rsidP="00821572">
            <w:r>
              <w:t>20</w:t>
            </w:r>
          </w:p>
        </w:tc>
        <w:tc>
          <w:tcPr>
            <w:tcW w:w="4140" w:type="dxa"/>
          </w:tcPr>
          <w:p w14:paraId="421D0596" w14:textId="77777777" w:rsidR="002A2C62" w:rsidRPr="005F3225" w:rsidRDefault="002A2C62" w:rsidP="00821572">
            <w:r w:rsidRPr="005F3225">
              <w:t>Attendance &amp; participation in weekly classes</w:t>
            </w:r>
          </w:p>
        </w:tc>
        <w:tc>
          <w:tcPr>
            <w:tcW w:w="2245" w:type="dxa"/>
          </w:tcPr>
          <w:p w14:paraId="6E6C173E" w14:textId="77777777" w:rsidR="002A2C62" w:rsidRPr="005F3225" w:rsidRDefault="002A2C62" w:rsidP="00821572">
            <w:r w:rsidRPr="005F3225">
              <w:t>Every week</w:t>
            </w:r>
          </w:p>
        </w:tc>
      </w:tr>
      <w:tr w:rsidR="002A2C62" w:rsidRPr="005F3225" w14:paraId="1DE54F40" w14:textId="77777777" w:rsidTr="00821572">
        <w:tc>
          <w:tcPr>
            <w:tcW w:w="1525" w:type="dxa"/>
          </w:tcPr>
          <w:p w14:paraId="6802DA51" w14:textId="77777777" w:rsidR="002A2C62" w:rsidRPr="005F3225" w:rsidRDefault="002A2C62" w:rsidP="00821572">
            <w:r>
              <w:t>Review 1</w:t>
            </w:r>
          </w:p>
        </w:tc>
        <w:tc>
          <w:tcPr>
            <w:tcW w:w="1440" w:type="dxa"/>
          </w:tcPr>
          <w:p w14:paraId="507E37E2" w14:textId="77777777" w:rsidR="002A2C62" w:rsidRPr="005F3225" w:rsidRDefault="002A2C62" w:rsidP="00821572">
            <w:r>
              <w:t>20</w:t>
            </w:r>
          </w:p>
        </w:tc>
        <w:tc>
          <w:tcPr>
            <w:tcW w:w="4140" w:type="dxa"/>
          </w:tcPr>
          <w:p w14:paraId="1532A681" w14:textId="77777777" w:rsidR="002A2C62" w:rsidRPr="005F3225" w:rsidRDefault="002A2C62" w:rsidP="00821572">
            <w:r>
              <w:t>4-page critical review of a reading assigned for that week + a 5-minute presentation in class</w:t>
            </w:r>
          </w:p>
        </w:tc>
        <w:tc>
          <w:tcPr>
            <w:tcW w:w="2245" w:type="dxa"/>
          </w:tcPr>
          <w:p w14:paraId="532A6EB1" w14:textId="77777777" w:rsidR="002A2C62" w:rsidRPr="005F3225" w:rsidRDefault="002A2C62" w:rsidP="00821572">
            <w:r>
              <w:t>24 hours before class; students will select their assigned weeks in the second class</w:t>
            </w:r>
          </w:p>
        </w:tc>
      </w:tr>
      <w:tr w:rsidR="002A2C62" w:rsidRPr="005F3225" w14:paraId="2361C507" w14:textId="77777777" w:rsidTr="00821572">
        <w:trPr>
          <w:trHeight w:val="251"/>
        </w:trPr>
        <w:tc>
          <w:tcPr>
            <w:tcW w:w="1525" w:type="dxa"/>
          </w:tcPr>
          <w:p w14:paraId="011E00A7" w14:textId="77777777" w:rsidR="002A2C62" w:rsidRPr="005F3225" w:rsidRDefault="002A2C62" w:rsidP="00821572">
            <w:r>
              <w:t>Review 2</w:t>
            </w:r>
          </w:p>
        </w:tc>
        <w:tc>
          <w:tcPr>
            <w:tcW w:w="1440" w:type="dxa"/>
          </w:tcPr>
          <w:p w14:paraId="770BB532" w14:textId="77777777" w:rsidR="002A2C62" w:rsidRPr="005F3225" w:rsidRDefault="002A2C62" w:rsidP="00821572">
            <w:r>
              <w:t>20</w:t>
            </w:r>
          </w:p>
        </w:tc>
        <w:tc>
          <w:tcPr>
            <w:tcW w:w="4140" w:type="dxa"/>
          </w:tcPr>
          <w:p w14:paraId="173337A7" w14:textId="77777777" w:rsidR="002A2C62" w:rsidRPr="005F3225" w:rsidRDefault="002A2C62" w:rsidP="00821572">
            <w:r>
              <w:t>4-page critical review of a reading assigned for that week + a 5-minute presentation in class</w:t>
            </w:r>
          </w:p>
        </w:tc>
        <w:tc>
          <w:tcPr>
            <w:tcW w:w="2245" w:type="dxa"/>
          </w:tcPr>
          <w:p w14:paraId="22EAC3AF" w14:textId="77777777" w:rsidR="002A2C62" w:rsidRPr="005F3225" w:rsidRDefault="002A2C62" w:rsidP="00821572">
            <w:r>
              <w:t xml:space="preserve">24 hours before class; students will select their assigned </w:t>
            </w:r>
            <w:r>
              <w:lastRenderedPageBreak/>
              <w:t>weeks in the second class</w:t>
            </w:r>
          </w:p>
        </w:tc>
      </w:tr>
      <w:tr w:rsidR="002A2C62" w:rsidRPr="005F3225" w14:paraId="026F1A7B" w14:textId="77777777" w:rsidTr="00821572">
        <w:trPr>
          <w:trHeight w:val="251"/>
        </w:trPr>
        <w:tc>
          <w:tcPr>
            <w:tcW w:w="1525" w:type="dxa"/>
          </w:tcPr>
          <w:p w14:paraId="78D056B6" w14:textId="77777777" w:rsidR="002A2C62" w:rsidRPr="005F3225" w:rsidRDefault="002A2C62" w:rsidP="00821572">
            <w:r>
              <w:lastRenderedPageBreak/>
              <w:t>Research Design</w:t>
            </w:r>
          </w:p>
        </w:tc>
        <w:tc>
          <w:tcPr>
            <w:tcW w:w="1440" w:type="dxa"/>
          </w:tcPr>
          <w:p w14:paraId="6B9B74A8" w14:textId="77777777" w:rsidR="002A2C62" w:rsidRPr="005F3225" w:rsidRDefault="002A2C62" w:rsidP="00821572">
            <w:r>
              <w:t>40</w:t>
            </w:r>
          </w:p>
        </w:tc>
        <w:tc>
          <w:tcPr>
            <w:tcW w:w="4140" w:type="dxa"/>
          </w:tcPr>
          <w:p w14:paraId="45D74AA4" w14:textId="77777777" w:rsidR="002A2C62" w:rsidRPr="005F3225" w:rsidRDefault="002A2C62" w:rsidP="00821572">
            <w:r>
              <w:t>A 15-25-page research project proposal which 1) identifies a relevant question, 2) locates that question within the relevant literature, 3) proposes a theory which extends existing work 4) details a methodological approach which could be taken to test the theory</w:t>
            </w:r>
          </w:p>
        </w:tc>
        <w:tc>
          <w:tcPr>
            <w:tcW w:w="2245" w:type="dxa"/>
          </w:tcPr>
          <w:p w14:paraId="6F5747EC" w14:textId="77777777" w:rsidR="002A2C62" w:rsidRPr="005F3225" w:rsidRDefault="002A2C62" w:rsidP="00821572">
            <w:r>
              <w:t>One week after the last class</w:t>
            </w:r>
          </w:p>
        </w:tc>
      </w:tr>
    </w:tbl>
    <w:p w14:paraId="6277B0F9" w14:textId="77777777" w:rsidR="00A506D4" w:rsidRDefault="00A506D4" w:rsidP="002A2C62">
      <w:pPr>
        <w:rPr>
          <w:b/>
        </w:rPr>
      </w:pPr>
    </w:p>
    <w:p w14:paraId="71563842" w14:textId="77777777" w:rsidR="00235669" w:rsidRDefault="00235669" w:rsidP="002A2C62">
      <w:pPr>
        <w:rPr>
          <w:b/>
        </w:rPr>
      </w:pPr>
    </w:p>
    <w:p w14:paraId="6854CC28" w14:textId="44259872" w:rsidR="002A2C62" w:rsidRPr="005F3225" w:rsidRDefault="002A2C62" w:rsidP="002A2C62">
      <w:pPr>
        <w:rPr>
          <w:b/>
        </w:rPr>
      </w:pPr>
      <w:r w:rsidRPr="005F3225">
        <w:rPr>
          <w:b/>
        </w:rPr>
        <w:t>Policies:</w:t>
      </w:r>
    </w:p>
    <w:p w14:paraId="1828FC04" w14:textId="77777777" w:rsidR="002A2C62" w:rsidRPr="005F3225" w:rsidRDefault="002A2C62" w:rsidP="002A2C62">
      <w:pPr>
        <w:rPr>
          <w:b/>
        </w:rPr>
      </w:pPr>
    </w:p>
    <w:p w14:paraId="7758E4FD" w14:textId="77777777" w:rsidR="002A2C62" w:rsidRPr="005F3225" w:rsidRDefault="002A2C62" w:rsidP="002A2C62">
      <w:r w:rsidRPr="005F3225">
        <w:t xml:space="preserve">You are expected to not only attend but to actively participate in class. </w:t>
      </w:r>
      <w:r>
        <w:t xml:space="preserve">This is a discussion-based class, and it requires your engagement. </w:t>
      </w:r>
      <w:r w:rsidRPr="005F3225">
        <w:t>If you must miss class, please provide me with documentation of the reason for the absence in order for it to be excused. Each student can take one unexcused absence without a penalty, and all further unexcused absences will result in a 5% reduction of the class participation grade. Similarly, if you need an extension on an assignment, please reach out to me as soon as possible. I will accept late assignments for which I have not granted an extension, but each day that the assignment is late will result in a 5% reduction on the grade. All essays should be double-spaced, with 12-point Times New Roman font and 1-inch margins.</w:t>
      </w:r>
    </w:p>
    <w:p w14:paraId="2855BF50" w14:textId="77777777" w:rsidR="002A2C62" w:rsidRPr="005F3225" w:rsidRDefault="002A2C62" w:rsidP="002A2C62"/>
    <w:p w14:paraId="7C992E36" w14:textId="77777777" w:rsidR="002A2C62" w:rsidRPr="005F3225" w:rsidRDefault="002A2C62" w:rsidP="002A2C62">
      <w:r w:rsidRPr="005F3225">
        <w:t xml:space="preserve">If you would like me to review a graded assignment, I will happily do so. Please submit your requests in writing. You must wait 48 hours between the time you receive the graded assignment and when you contact me. I reserve the right to raise or lower your grade.  </w:t>
      </w:r>
    </w:p>
    <w:p w14:paraId="1B8EB8C4" w14:textId="77777777" w:rsidR="002A2C62" w:rsidRPr="005F3225" w:rsidRDefault="002A2C62" w:rsidP="002A2C62"/>
    <w:p w14:paraId="4463412A" w14:textId="77777777" w:rsidR="00235669" w:rsidRPr="00B66E1E" w:rsidRDefault="00235669" w:rsidP="00235669">
      <w:r w:rsidRPr="00C63F4C">
        <w:t xml:space="preserve">I expect you to comply with the Brown Academic Code. You can find details at </w:t>
      </w:r>
      <w:hyperlink r:id="rId5" w:history="1">
        <w:r w:rsidRPr="00C63F4C">
          <w:rPr>
            <w:rStyle w:val="Hyperlink"/>
          </w:rPr>
          <w:t>https://college.brown.edu/design-your-education/academic-policies/academic-code</w:t>
        </w:r>
      </w:hyperlink>
      <w:r w:rsidRPr="00C63F4C">
        <w:t>.</w:t>
      </w:r>
      <w:r>
        <w:t xml:space="preserve"> </w:t>
      </w:r>
    </w:p>
    <w:p w14:paraId="2AA21B82" w14:textId="77777777" w:rsidR="002A2C62" w:rsidRDefault="002A2C62" w:rsidP="002A2C62">
      <w:pPr>
        <w:rPr>
          <w:b/>
          <w:bCs/>
        </w:rPr>
      </w:pPr>
    </w:p>
    <w:p w14:paraId="28060EDD" w14:textId="77777777" w:rsidR="002A2C62" w:rsidRPr="005F3225" w:rsidRDefault="002A2C62" w:rsidP="002A2C62">
      <w:pPr>
        <w:rPr>
          <w:b/>
          <w:bCs/>
        </w:rPr>
      </w:pPr>
      <w:r w:rsidRPr="005F3225">
        <w:rPr>
          <w:b/>
          <w:bCs/>
        </w:rPr>
        <w:t>Resources and Support:</w:t>
      </w:r>
    </w:p>
    <w:p w14:paraId="0B74F673" w14:textId="77777777" w:rsidR="002A2C62" w:rsidRPr="005F3225" w:rsidRDefault="002A2C62" w:rsidP="002A2C62">
      <w:pPr>
        <w:rPr>
          <w:color w:val="222222"/>
          <w:shd w:val="clear" w:color="auto" w:fill="FFFFFF"/>
        </w:rPr>
      </w:pPr>
    </w:p>
    <w:p w14:paraId="59E04F6C" w14:textId="77777777" w:rsidR="00235669" w:rsidRPr="00B66E1E" w:rsidRDefault="00235669" w:rsidP="00235669">
      <w:pPr>
        <w:ind w:left="360"/>
        <w:rPr>
          <w:color w:val="222222"/>
          <w:shd w:val="clear" w:color="auto" w:fill="FFFFFF"/>
        </w:rPr>
      </w:pPr>
      <w:r w:rsidRPr="00B66E1E">
        <w:rPr>
          <w:color w:val="222222"/>
          <w:shd w:val="clear" w:color="auto" w:fill="FFFFFF"/>
        </w:rPr>
        <w:t xml:space="preserve">1) My goal is to create a learning environment that supports a diverse range of perspectives, experiences, and identities. </w:t>
      </w:r>
    </w:p>
    <w:p w14:paraId="0D53C0DF" w14:textId="77777777" w:rsidR="00235669" w:rsidRPr="00B66E1E" w:rsidRDefault="00235669" w:rsidP="00235669">
      <w:pPr>
        <w:pStyle w:val="ListParagraph"/>
        <w:rPr>
          <w:color w:val="222222"/>
          <w:shd w:val="clear" w:color="auto" w:fill="FFFFFF"/>
        </w:rPr>
      </w:pPr>
    </w:p>
    <w:p w14:paraId="611AEE4C" w14:textId="77777777" w:rsidR="00235669" w:rsidRPr="00B66E1E" w:rsidRDefault="00235669" w:rsidP="00235669">
      <w:pPr>
        <w:pStyle w:val="ListParagraph"/>
        <w:numPr>
          <w:ilvl w:val="1"/>
          <w:numId w:val="6"/>
        </w:numPr>
        <w:rPr>
          <w:color w:val="000000" w:themeColor="text1"/>
          <w:shd w:val="clear" w:color="auto" w:fill="FFFFFF"/>
        </w:rPr>
      </w:pPr>
      <w:r w:rsidRPr="00B66E1E">
        <w:rPr>
          <w:color w:val="000000" w:themeColor="text1"/>
          <w:shd w:val="clear" w:color="auto" w:fill="FFFFFF"/>
        </w:rPr>
        <w:t xml:space="preserve">The topics that we’re covering in this class are often difficult, not just intellectually but also emotionally. While I expect </w:t>
      </w:r>
      <w:r>
        <w:rPr>
          <w:color w:val="000000" w:themeColor="text1"/>
          <w:shd w:val="clear" w:color="auto" w:fill="FFFFFF"/>
        </w:rPr>
        <w:t xml:space="preserve">there will be </w:t>
      </w:r>
      <w:r w:rsidRPr="00B66E1E">
        <w:rPr>
          <w:color w:val="000000" w:themeColor="text1"/>
          <w:shd w:val="clear" w:color="auto" w:fill="FFFFFF"/>
        </w:rPr>
        <w:t xml:space="preserve">rigorous discussion and even disagreement during our class discussions, I ask that you engage </w:t>
      </w:r>
      <w:r>
        <w:rPr>
          <w:color w:val="000000" w:themeColor="text1"/>
          <w:shd w:val="clear" w:color="auto" w:fill="FFFFFF"/>
        </w:rPr>
        <w:t>in each class meeting</w:t>
      </w:r>
      <w:r w:rsidRPr="00B66E1E">
        <w:rPr>
          <w:color w:val="000000" w:themeColor="text1"/>
          <w:shd w:val="clear" w:color="auto" w:fill="FFFFFF"/>
        </w:rPr>
        <w:t xml:space="preserve"> with care and empathy for the other members in the classroom. </w:t>
      </w:r>
      <w:r w:rsidRPr="00B66E1E">
        <w:rPr>
          <w:color w:val="222222"/>
          <w:shd w:val="clear" w:color="auto" w:fill="FFFFFF"/>
        </w:rPr>
        <w:t xml:space="preserve">I will not tolerate insults; gender or racial slurs; or any other form of bullying, intimidation, or hate speech. I expect all members of this class to contribute to a respectful, welcoming, and inclusive environment for every other member of this class. </w:t>
      </w:r>
    </w:p>
    <w:p w14:paraId="6134B7CB" w14:textId="77777777" w:rsidR="00235669" w:rsidRPr="00B66E1E" w:rsidRDefault="00235669" w:rsidP="00235669">
      <w:pPr>
        <w:pStyle w:val="ListParagraph"/>
        <w:numPr>
          <w:ilvl w:val="1"/>
          <w:numId w:val="6"/>
        </w:numPr>
        <w:rPr>
          <w:color w:val="000000" w:themeColor="text1"/>
          <w:shd w:val="clear" w:color="auto" w:fill="FFFFFF"/>
        </w:rPr>
      </w:pPr>
      <w:r w:rsidRPr="00B66E1E">
        <w:rPr>
          <w:color w:val="3B302C"/>
          <w:shd w:val="clear" w:color="auto" w:fill="FFFFFF"/>
        </w:rPr>
        <w:t xml:space="preserve">Brown University is committed to full inclusion of all students. Please inform me early in the term if you may require accommodations or modification of any of course procedures. You may speak with me after class, during office hours, or by appointment. If you need accommodations around online learning or in classroom </w:t>
      </w:r>
      <w:r w:rsidRPr="00B66E1E">
        <w:rPr>
          <w:color w:val="3B302C"/>
          <w:shd w:val="clear" w:color="auto" w:fill="FFFFFF"/>
        </w:rPr>
        <w:lastRenderedPageBreak/>
        <w:t>accommodations, please be sure to reach out to </w:t>
      </w:r>
      <w:hyperlink r:id="rId6" w:history="1">
        <w:r w:rsidRPr="00B66E1E">
          <w:rPr>
            <w:rStyle w:val="Hyperlink"/>
            <w:bdr w:val="none" w:sz="0" w:space="0" w:color="auto" w:frame="1"/>
            <w:shd w:val="clear" w:color="auto" w:fill="FFFFFF"/>
          </w:rPr>
          <w:t>Student Accessibility Services (SAS) </w:t>
        </w:r>
      </w:hyperlink>
      <w:r w:rsidRPr="00B66E1E">
        <w:rPr>
          <w:color w:val="3B302C"/>
          <w:shd w:val="clear" w:color="auto" w:fill="FFFFFF"/>
        </w:rPr>
        <w:t>for their assistance (</w:t>
      </w:r>
      <w:hyperlink r:id="rId7" w:history="1">
        <w:r w:rsidRPr="00B66E1E">
          <w:rPr>
            <w:rStyle w:val="Hyperlink"/>
            <w:bdr w:val="none" w:sz="0" w:space="0" w:color="auto" w:frame="1"/>
            <w:shd w:val="clear" w:color="auto" w:fill="FFFFFF"/>
          </w:rPr>
          <w:t>sas@brown.edu</w:t>
        </w:r>
      </w:hyperlink>
      <w:r w:rsidRPr="00B66E1E">
        <w:rPr>
          <w:color w:val="3B302C"/>
          <w:shd w:val="clear" w:color="auto" w:fill="FFFFFF"/>
        </w:rPr>
        <w:t>, 401-863-9588). Undergraduates in need of short-term academic advice or support can </w:t>
      </w:r>
      <w:hyperlink r:id="rId8" w:tgtFrame="_blank" w:history="1">
        <w:r w:rsidRPr="00B66E1E">
          <w:rPr>
            <w:rStyle w:val="Hyperlink"/>
            <w:bdr w:val="none" w:sz="0" w:space="0" w:color="auto" w:frame="1"/>
            <w:shd w:val="clear" w:color="auto" w:fill="FFFFFF"/>
          </w:rPr>
          <w:t>contact an academic dean in the College</w:t>
        </w:r>
      </w:hyperlink>
      <w:r w:rsidRPr="00B66E1E">
        <w:rPr>
          <w:color w:val="3B302C"/>
          <w:shd w:val="clear" w:color="auto" w:fill="FFFFFF"/>
        </w:rPr>
        <w:t> by emailing </w:t>
      </w:r>
      <w:hyperlink r:id="rId9" w:history="1">
        <w:r w:rsidRPr="00B66E1E">
          <w:rPr>
            <w:rStyle w:val="Hyperlink"/>
            <w:bdr w:val="none" w:sz="0" w:space="0" w:color="auto" w:frame="1"/>
            <w:shd w:val="clear" w:color="auto" w:fill="FFFFFF"/>
          </w:rPr>
          <w:t>college@brown.edu</w:t>
        </w:r>
      </w:hyperlink>
      <w:r w:rsidRPr="00B66E1E">
        <w:rPr>
          <w:color w:val="3B302C"/>
          <w:shd w:val="clear" w:color="auto" w:fill="FFFFFF"/>
        </w:rPr>
        <w:t>. Graduate students may contact one of the deans in the Graduate School by emailing </w:t>
      </w:r>
      <w:hyperlink r:id="rId10" w:history="1">
        <w:r w:rsidRPr="00B66E1E">
          <w:rPr>
            <w:rStyle w:val="Hyperlink"/>
            <w:bdr w:val="none" w:sz="0" w:space="0" w:color="auto" w:frame="1"/>
            <w:shd w:val="clear" w:color="auto" w:fill="FFFFFF"/>
          </w:rPr>
          <w:t>graduate_school@brown.edu</w:t>
        </w:r>
      </w:hyperlink>
      <w:r w:rsidRPr="00B66E1E">
        <w:rPr>
          <w:color w:val="3B302C"/>
          <w:shd w:val="clear" w:color="auto" w:fill="FFFFFF"/>
        </w:rPr>
        <w:t>.</w:t>
      </w:r>
    </w:p>
    <w:p w14:paraId="3E7BCCF3" w14:textId="77777777" w:rsidR="00235669" w:rsidRPr="00B66E1E" w:rsidRDefault="00235669" w:rsidP="00235669">
      <w:pPr>
        <w:pStyle w:val="ListParagraph"/>
        <w:ind w:left="1080"/>
        <w:rPr>
          <w:color w:val="000000" w:themeColor="text1"/>
          <w:shd w:val="clear" w:color="auto" w:fill="FFFFFF"/>
        </w:rPr>
      </w:pPr>
    </w:p>
    <w:p w14:paraId="2E7256D4" w14:textId="77777777" w:rsidR="00235669" w:rsidRPr="00B66E1E" w:rsidRDefault="00235669" w:rsidP="00235669">
      <w:pPr>
        <w:pStyle w:val="ListParagraph"/>
        <w:numPr>
          <w:ilvl w:val="0"/>
          <w:numId w:val="6"/>
        </w:numPr>
      </w:pPr>
      <w:r w:rsidRPr="00B66E1E">
        <w:t>Resources:</w:t>
      </w:r>
    </w:p>
    <w:p w14:paraId="7379C09B" w14:textId="77777777" w:rsidR="00235669" w:rsidRPr="00B66E1E" w:rsidRDefault="00235669" w:rsidP="00235669">
      <w:pPr>
        <w:pStyle w:val="ListParagraph"/>
      </w:pPr>
    </w:p>
    <w:p w14:paraId="2143B31F" w14:textId="77777777" w:rsidR="00235669" w:rsidRPr="00B66E1E" w:rsidRDefault="00235669" w:rsidP="00235669">
      <w:pPr>
        <w:pStyle w:val="ListParagraph"/>
        <w:numPr>
          <w:ilvl w:val="1"/>
          <w:numId w:val="6"/>
        </w:numPr>
      </w:pPr>
      <w:r w:rsidRPr="00B66E1E">
        <w:t xml:space="preserve">I recommend that students take full advantage of the Harriet W. Sheridan Center for Teaching and Learning’s </w:t>
      </w:r>
      <w:hyperlink r:id="rId11" w:history="1">
        <w:r w:rsidRPr="00B66E1E">
          <w:rPr>
            <w:rStyle w:val="Hyperlink"/>
          </w:rPr>
          <w:t>Writing Center</w:t>
        </w:r>
      </w:hyperlink>
      <w:r w:rsidRPr="00B66E1E">
        <w:t>.</w:t>
      </w:r>
    </w:p>
    <w:p w14:paraId="3D3B674E" w14:textId="77777777" w:rsidR="00235669" w:rsidRDefault="00000000" w:rsidP="00235669">
      <w:pPr>
        <w:pStyle w:val="ListParagraph"/>
        <w:numPr>
          <w:ilvl w:val="1"/>
          <w:numId w:val="6"/>
        </w:numPr>
      </w:pPr>
      <w:hyperlink r:id="rId12" w:history="1">
        <w:r w:rsidR="00235669" w:rsidRPr="00B66E1E">
          <w:rPr>
            <w:rStyle w:val="Hyperlink"/>
          </w:rPr>
          <w:t>Brown Student Support Services</w:t>
        </w:r>
      </w:hyperlink>
      <w:r w:rsidR="00235669" w:rsidRPr="00B66E1E">
        <w:t xml:space="preserve"> is available to assist students dealing </w:t>
      </w:r>
      <w:r w:rsidR="00235669">
        <w:t xml:space="preserve">with a range of issues and concerns. Find out more information online or at 401-863-3145. </w:t>
      </w:r>
    </w:p>
    <w:p w14:paraId="3023AB05" w14:textId="4D44DE95" w:rsidR="008225CB" w:rsidRDefault="00235669" w:rsidP="002A2C62">
      <w:pPr>
        <w:pStyle w:val="ListParagraph"/>
        <w:numPr>
          <w:ilvl w:val="1"/>
          <w:numId w:val="6"/>
        </w:numPr>
      </w:pPr>
      <w:r>
        <w:t xml:space="preserve">Brown </w:t>
      </w:r>
      <w:hyperlink r:id="rId13" w:history="1">
        <w:r w:rsidRPr="00B66E1E">
          <w:rPr>
            <w:rStyle w:val="Hyperlink"/>
          </w:rPr>
          <w:t xml:space="preserve">Counseling and Psychological </w:t>
        </w:r>
        <w:r>
          <w:rPr>
            <w:rStyle w:val="Hyperlink"/>
          </w:rPr>
          <w:t>S</w:t>
        </w:r>
        <w:r w:rsidRPr="00B66E1E">
          <w:rPr>
            <w:rStyle w:val="Hyperlink"/>
          </w:rPr>
          <w:t>ervices</w:t>
        </w:r>
      </w:hyperlink>
      <w:r>
        <w:t xml:space="preserve"> (CAPS) offers a range of mental health and prevention services in an inclusive, compassionate, affirming and socially just environment. </w:t>
      </w:r>
    </w:p>
    <w:p w14:paraId="661BDC6F" w14:textId="77777777" w:rsidR="00235669" w:rsidRPr="00235669" w:rsidRDefault="00235669" w:rsidP="00235669">
      <w:pPr>
        <w:pStyle w:val="ListParagraph"/>
        <w:ind w:left="1080"/>
      </w:pPr>
    </w:p>
    <w:p w14:paraId="7CE92349" w14:textId="23AC9D85" w:rsidR="002A2C62" w:rsidRDefault="002A2C62" w:rsidP="002A2C62">
      <w:pPr>
        <w:rPr>
          <w:b/>
        </w:rPr>
      </w:pPr>
      <w:r w:rsidRPr="005F3225">
        <w:rPr>
          <w:b/>
        </w:rPr>
        <w:t xml:space="preserve">Schedule: </w:t>
      </w:r>
    </w:p>
    <w:p w14:paraId="16FB984A" w14:textId="77777777" w:rsidR="002A2C62" w:rsidRDefault="002A2C62" w:rsidP="002A2C62">
      <w:pPr>
        <w:rPr>
          <w:b/>
        </w:rPr>
      </w:pPr>
    </w:p>
    <w:p w14:paraId="4D0E1098" w14:textId="77777777" w:rsidR="002A2C62" w:rsidRDefault="002A2C62" w:rsidP="002A2C62">
      <w:pPr>
        <w:pStyle w:val="ListParagraph"/>
        <w:numPr>
          <w:ilvl w:val="0"/>
          <w:numId w:val="4"/>
        </w:numPr>
        <w:rPr>
          <w:bCs/>
        </w:rPr>
      </w:pPr>
      <w:r w:rsidRPr="00656DC0">
        <w:rPr>
          <w:bCs/>
        </w:rPr>
        <w:t>Civil Wars: Trends and Definitions</w:t>
      </w:r>
    </w:p>
    <w:p w14:paraId="2F9F7C86" w14:textId="77777777" w:rsidR="002A2C62" w:rsidRPr="00656DC0" w:rsidRDefault="002A2C62" w:rsidP="002A2C62">
      <w:pPr>
        <w:pStyle w:val="ListParagraph"/>
        <w:rPr>
          <w:bCs/>
        </w:rPr>
      </w:pPr>
    </w:p>
    <w:p w14:paraId="74041B85" w14:textId="25F6C6F7" w:rsidR="002D521E" w:rsidRDefault="002D521E" w:rsidP="002D521E">
      <w:pPr>
        <w:pStyle w:val="ListParagraph"/>
        <w:numPr>
          <w:ilvl w:val="1"/>
          <w:numId w:val="4"/>
        </w:numPr>
      </w:pPr>
      <w:r>
        <w:t xml:space="preserve">Davies, Shawn, Therése Pettersson, and Magnus Öberg. 2023. “Organized Violence 1989–2022, and the Return of Conflict between States.” </w:t>
      </w:r>
      <w:r w:rsidRPr="002D521E">
        <w:rPr>
          <w:i/>
          <w:iCs/>
        </w:rPr>
        <w:t>Journal of Peace Research</w:t>
      </w:r>
      <w:r>
        <w:t xml:space="preserve"> 60(4): 691–708.</w:t>
      </w:r>
    </w:p>
    <w:p w14:paraId="1478EA56" w14:textId="0EF8A5FA" w:rsidR="002A2C62" w:rsidRPr="00656DC0" w:rsidRDefault="002A2C62" w:rsidP="002A2C62">
      <w:pPr>
        <w:pStyle w:val="ListParagraph"/>
        <w:numPr>
          <w:ilvl w:val="1"/>
          <w:numId w:val="4"/>
        </w:numPr>
      </w:pPr>
      <w:r>
        <w:t xml:space="preserve">Sambanis, Nicholas. 2004. “What Is Civil War? Conceptual and Empirical Complexities of an Operational Definition.” </w:t>
      </w:r>
      <w:r w:rsidRPr="00656DC0">
        <w:rPr>
          <w:i/>
          <w:iCs/>
        </w:rPr>
        <w:t>Journal of Conflict Resolution</w:t>
      </w:r>
      <w:r>
        <w:t xml:space="preserve"> 48 (6): 814–58. </w:t>
      </w:r>
    </w:p>
    <w:p w14:paraId="2F7D5C7A" w14:textId="2C29CED9" w:rsidR="002A2C62" w:rsidRDefault="002A2C62" w:rsidP="002A2C62">
      <w:pPr>
        <w:pStyle w:val="ListParagraph"/>
        <w:numPr>
          <w:ilvl w:val="1"/>
          <w:numId w:val="4"/>
        </w:numPr>
      </w:pPr>
      <w:r>
        <w:t xml:space="preserve">Kalyvas, Stathis N., and Laia Balcells. 2010. “International System and Technologies of Rebellion: How the End of the Cold War Shaped Internal Conflict.” </w:t>
      </w:r>
      <w:r w:rsidRPr="00656DC0">
        <w:rPr>
          <w:i/>
          <w:iCs/>
        </w:rPr>
        <w:t>American Political Science Review</w:t>
      </w:r>
      <w:r>
        <w:t xml:space="preserve"> 104 (3): 415–29. </w:t>
      </w:r>
    </w:p>
    <w:p w14:paraId="10AA5EE4" w14:textId="1CA7B011" w:rsidR="00C70450" w:rsidRDefault="00C70450" w:rsidP="00C70450">
      <w:pPr>
        <w:pStyle w:val="ListParagraph"/>
        <w:numPr>
          <w:ilvl w:val="1"/>
          <w:numId w:val="4"/>
        </w:numPr>
      </w:pPr>
      <w:r>
        <w:t xml:space="preserve">Staniland, Paul. 2021. </w:t>
      </w:r>
      <w:r>
        <w:rPr>
          <w:i/>
          <w:iCs/>
        </w:rPr>
        <w:t xml:space="preserve">Ordering Violence: Explaining Armed Group-State Relations from Conflict to Cooperation. </w:t>
      </w:r>
      <w:r>
        <w:t xml:space="preserve">Cornell University Press. </w:t>
      </w:r>
      <w:r>
        <w:sym w:font="Wingdings" w:char="F0E0"/>
      </w:r>
      <w:r>
        <w:t xml:space="preserve"> Introduction, Chapter 1, Chapter 2, Chapter 3</w:t>
      </w:r>
    </w:p>
    <w:p w14:paraId="681A2F33" w14:textId="7F51B624" w:rsidR="007E79EC" w:rsidRDefault="007E79EC" w:rsidP="007E79EC">
      <w:pPr>
        <w:pStyle w:val="ListParagraph"/>
        <w:numPr>
          <w:ilvl w:val="1"/>
          <w:numId w:val="4"/>
        </w:numPr>
      </w:pPr>
      <w:r>
        <w:t xml:space="preserve">Kalyvas, Stathis N. 2003. “The Ontology of ‘Political Violence’: Action and Identity in Civil Wars.” </w:t>
      </w:r>
      <w:r w:rsidRPr="007E79EC">
        <w:rPr>
          <w:i/>
          <w:iCs/>
        </w:rPr>
        <w:t>Perspectives on Politics</w:t>
      </w:r>
      <w:r>
        <w:t xml:space="preserve"> 1(03): 475–94.</w:t>
      </w:r>
    </w:p>
    <w:p w14:paraId="77518072" w14:textId="77777777" w:rsidR="002A2C62" w:rsidRPr="00656DC0" w:rsidRDefault="002A2C62" w:rsidP="002A2C62">
      <w:pPr>
        <w:pStyle w:val="ListParagraph"/>
        <w:ind w:left="1440"/>
        <w:rPr>
          <w:bCs/>
        </w:rPr>
      </w:pPr>
    </w:p>
    <w:p w14:paraId="0CB9843D" w14:textId="77777777" w:rsidR="002A2C62" w:rsidRDefault="002A2C62" w:rsidP="002A2C62">
      <w:pPr>
        <w:pStyle w:val="ListParagraph"/>
        <w:numPr>
          <w:ilvl w:val="0"/>
          <w:numId w:val="4"/>
        </w:numPr>
        <w:rPr>
          <w:bCs/>
        </w:rPr>
      </w:pPr>
      <w:r w:rsidRPr="00656DC0">
        <w:rPr>
          <w:bCs/>
        </w:rPr>
        <w:t xml:space="preserve">Macro-Level Causes </w:t>
      </w:r>
    </w:p>
    <w:p w14:paraId="4412BE26" w14:textId="77777777" w:rsidR="002A2C62" w:rsidRDefault="002A2C62" w:rsidP="002A2C62">
      <w:pPr>
        <w:pStyle w:val="ListParagraph"/>
        <w:rPr>
          <w:bCs/>
        </w:rPr>
      </w:pPr>
    </w:p>
    <w:p w14:paraId="1E15952B" w14:textId="77777777" w:rsidR="002A2C62" w:rsidRPr="005F3225" w:rsidRDefault="002A2C62" w:rsidP="002A2C62">
      <w:pPr>
        <w:pStyle w:val="ListParagraph"/>
        <w:numPr>
          <w:ilvl w:val="1"/>
          <w:numId w:val="4"/>
        </w:numPr>
      </w:pPr>
      <w:r w:rsidRPr="005F3225">
        <w:t xml:space="preserve">Fearon, James D., and David D. Laitin. 2003. “Ethnicity, Insurgency, and Civil War.” </w:t>
      </w:r>
      <w:r w:rsidRPr="005F3225">
        <w:rPr>
          <w:i/>
          <w:iCs/>
        </w:rPr>
        <w:t>American Political Science Review</w:t>
      </w:r>
      <w:r w:rsidRPr="005F3225">
        <w:t xml:space="preserve"> 97 (01): 75–90. </w:t>
      </w:r>
    </w:p>
    <w:p w14:paraId="3D085289" w14:textId="77777777" w:rsidR="002A2C62" w:rsidRPr="005F3225" w:rsidRDefault="002A2C62" w:rsidP="002A2C62">
      <w:pPr>
        <w:pStyle w:val="ListParagraph"/>
        <w:numPr>
          <w:ilvl w:val="1"/>
          <w:numId w:val="4"/>
        </w:numPr>
      </w:pPr>
      <w:r w:rsidRPr="005F3225">
        <w:t xml:space="preserve">Collier, Paul, and Anke Hoeffler. 2004. “Greed and Grievance in Civil War.” </w:t>
      </w:r>
      <w:r w:rsidRPr="005F3225">
        <w:rPr>
          <w:i/>
          <w:iCs/>
        </w:rPr>
        <w:t>Oxford Economic Papers</w:t>
      </w:r>
      <w:r w:rsidRPr="005F3225">
        <w:t xml:space="preserve"> 56 (4): 563–95. </w:t>
      </w:r>
    </w:p>
    <w:p w14:paraId="0353294A" w14:textId="77777777" w:rsidR="002A2C62" w:rsidRPr="005F3225" w:rsidRDefault="002A2C62" w:rsidP="002A2C62">
      <w:pPr>
        <w:pStyle w:val="ListParagraph"/>
        <w:numPr>
          <w:ilvl w:val="1"/>
          <w:numId w:val="4"/>
        </w:numPr>
        <w:rPr>
          <w:bCs/>
        </w:rPr>
      </w:pPr>
      <w:r w:rsidRPr="005F3225">
        <w:t xml:space="preserve">Cederman, Lars-Erik, Nils B. Weidmann, and Kristian Skrede Gleditsch. 2011. “Horizontal Inequalities and Ethnonationalist Civil War: A Global Comparison.” </w:t>
      </w:r>
      <w:r w:rsidRPr="005F3225">
        <w:rPr>
          <w:i/>
          <w:iCs/>
        </w:rPr>
        <w:t>American Political Science Review</w:t>
      </w:r>
      <w:r w:rsidRPr="005F3225">
        <w:t xml:space="preserve"> 105 (3): 478–95. </w:t>
      </w:r>
    </w:p>
    <w:p w14:paraId="2863B55B" w14:textId="77777777" w:rsidR="002A2C62" w:rsidRDefault="002A2C62" w:rsidP="002A2C62">
      <w:pPr>
        <w:pStyle w:val="ListParagraph"/>
        <w:numPr>
          <w:ilvl w:val="1"/>
          <w:numId w:val="4"/>
        </w:numPr>
      </w:pPr>
      <w:r w:rsidRPr="005F3225">
        <w:t xml:space="preserve">Walter, Barbara. 2004. “Does Conflict Beget Conflict? Explaining Recurring Civil War.” </w:t>
      </w:r>
      <w:r w:rsidRPr="005F3225">
        <w:rPr>
          <w:i/>
          <w:iCs/>
        </w:rPr>
        <w:t>Journal of Peace Research</w:t>
      </w:r>
      <w:r w:rsidRPr="005F3225">
        <w:t xml:space="preserve"> 41 (3): 371–88.</w:t>
      </w:r>
    </w:p>
    <w:p w14:paraId="0C97AEF4" w14:textId="43BF5242" w:rsidR="00C70450" w:rsidRDefault="00C70450" w:rsidP="00C70450">
      <w:pPr>
        <w:pStyle w:val="ListParagraph"/>
        <w:numPr>
          <w:ilvl w:val="1"/>
          <w:numId w:val="4"/>
        </w:numPr>
      </w:pPr>
      <w:r>
        <w:lastRenderedPageBreak/>
        <w:t xml:space="preserve">Maertens, Ricardo. 2021. “Adverse Rainfall Shocks and Civil War: Myth or Reality?” </w:t>
      </w:r>
      <w:r w:rsidRPr="00C70450">
        <w:rPr>
          <w:i/>
          <w:iCs/>
        </w:rPr>
        <w:t>Journal of Conflict Resolution</w:t>
      </w:r>
      <w:r>
        <w:t xml:space="preserve"> 65 (4): 701–28. </w:t>
      </w:r>
    </w:p>
    <w:p w14:paraId="3C35565D" w14:textId="77777777" w:rsidR="002A2C62" w:rsidRDefault="002A2C62" w:rsidP="002A2C62">
      <w:pPr>
        <w:pStyle w:val="ListParagraph"/>
        <w:numPr>
          <w:ilvl w:val="1"/>
          <w:numId w:val="4"/>
        </w:numPr>
      </w:pPr>
      <w:r>
        <w:t xml:space="preserve">Daly, Sarah Zukerman. 2012. “Organizational Legacies of Violence: Conditions Favoring Insurgency Onset in Colombia, 1964–1984.” </w:t>
      </w:r>
      <w:r w:rsidRPr="0000220C">
        <w:rPr>
          <w:i/>
          <w:iCs/>
        </w:rPr>
        <w:t>Journal of Peace Research</w:t>
      </w:r>
      <w:r>
        <w:t xml:space="preserve"> 49 (3): 473–91. </w:t>
      </w:r>
    </w:p>
    <w:p w14:paraId="653F10EA" w14:textId="77777777" w:rsidR="002A2C62" w:rsidRPr="0000220C" w:rsidRDefault="002A2C62" w:rsidP="002A2C62">
      <w:pPr>
        <w:pStyle w:val="ListParagraph"/>
        <w:ind w:left="1440"/>
      </w:pPr>
    </w:p>
    <w:p w14:paraId="3F78C6C3" w14:textId="75F7A92C" w:rsidR="002A2C62" w:rsidRDefault="001C4128" w:rsidP="002A2C62">
      <w:pPr>
        <w:pStyle w:val="ListParagraph"/>
        <w:numPr>
          <w:ilvl w:val="0"/>
          <w:numId w:val="4"/>
        </w:numPr>
        <w:rPr>
          <w:bCs/>
        </w:rPr>
      </w:pPr>
      <w:r>
        <w:rPr>
          <w:bCs/>
        </w:rPr>
        <w:t>Micro-Level Causes</w:t>
      </w:r>
    </w:p>
    <w:p w14:paraId="176DF3F2" w14:textId="77777777" w:rsidR="002A2C62" w:rsidRDefault="002A2C62" w:rsidP="002A2C62">
      <w:pPr>
        <w:pStyle w:val="ListParagraph"/>
        <w:rPr>
          <w:bCs/>
        </w:rPr>
      </w:pPr>
    </w:p>
    <w:p w14:paraId="70343ADE" w14:textId="77777777" w:rsidR="002A2C62" w:rsidRPr="005F3225" w:rsidRDefault="002A2C62" w:rsidP="002A2C62">
      <w:pPr>
        <w:pStyle w:val="ListParagraph"/>
        <w:numPr>
          <w:ilvl w:val="1"/>
          <w:numId w:val="4"/>
        </w:numPr>
      </w:pPr>
      <w:r w:rsidRPr="005F3225">
        <w:t xml:space="preserve">Humphreys, Macartan, and Jeremy M. Weinstein. 2008. “Who Fights? The Determinants of Participation in Civil War.” </w:t>
      </w:r>
      <w:r w:rsidRPr="005F3225">
        <w:rPr>
          <w:i/>
          <w:iCs/>
        </w:rPr>
        <w:t>American Journal of Political Science</w:t>
      </w:r>
      <w:r w:rsidRPr="005F3225">
        <w:t xml:space="preserve"> 52 (2): 436–55.</w:t>
      </w:r>
    </w:p>
    <w:p w14:paraId="34133A0F" w14:textId="7CC56C80" w:rsidR="001C4128" w:rsidRDefault="001C4128" w:rsidP="001C4128">
      <w:pPr>
        <w:pStyle w:val="ListParagraph"/>
        <w:numPr>
          <w:ilvl w:val="1"/>
          <w:numId w:val="4"/>
        </w:numPr>
      </w:pPr>
      <w:r>
        <w:t xml:space="preserve">Braun, Robert. 2016. “Religious Minorities and Resistance to Genocide: The Collective Rescue of Jews in the Netherlands during the Holocaust.” </w:t>
      </w:r>
      <w:r w:rsidRPr="001C4128">
        <w:rPr>
          <w:i/>
          <w:iCs/>
        </w:rPr>
        <w:t>The American Political Science Review</w:t>
      </w:r>
      <w:r>
        <w:t xml:space="preserve"> 110 (1): 127–47. </w:t>
      </w:r>
    </w:p>
    <w:p w14:paraId="4297EC9A" w14:textId="77777777" w:rsidR="002A2C62" w:rsidRPr="005F3225" w:rsidRDefault="002A2C62" w:rsidP="002A2C62">
      <w:pPr>
        <w:pStyle w:val="ListParagraph"/>
        <w:numPr>
          <w:ilvl w:val="1"/>
          <w:numId w:val="4"/>
        </w:numPr>
      </w:pPr>
      <w:r w:rsidRPr="005F3225">
        <w:t xml:space="preserve">Parkinson, Sarah Elizabeth. 2013. “Organizing Rebellion: Rethinking High-Risk Mobilization and Social Networks in War.” </w:t>
      </w:r>
      <w:r w:rsidRPr="005F3225">
        <w:rPr>
          <w:i/>
          <w:iCs/>
        </w:rPr>
        <w:t>The American Political Science Review</w:t>
      </w:r>
      <w:r w:rsidRPr="005F3225">
        <w:t xml:space="preserve"> 107 (3): 418–32.</w:t>
      </w:r>
    </w:p>
    <w:p w14:paraId="595CB9E5" w14:textId="77777777" w:rsidR="002A2C62" w:rsidRPr="005F3225" w:rsidRDefault="002A2C62" w:rsidP="002A2C62">
      <w:pPr>
        <w:pStyle w:val="ListParagraph"/>
        <w:numPr>
          <w:ilvl w:val="1"/>
          <w:numId w:val="4"/>
        </w:numPr>
      </w:pPr>
      <w:r w:rsidRPr="005F3225">
        <w:t xml:space="preserve">Thomas, Jakana L and Kanisha D. Bond. “Women’s Participation in Violent Political Organizations.” </w:t>
      </w:r>
      <w:r w:rsidRPr="005F3225">
        <w:rPr>
          <w:i/>
          <w:iCs/>
        </w:rPr>
        <w:t>The American Political Science Review; Washington</w:t>
      </w:r>
      <w:r w:rsidRPr="005F3225">
        <w:t xml:space="preserve"> 109 (3): 488–506. </w:t>
      </w:r>
    </w:p>
    <w:p w14:paraId="555459E3" w14:textId="77777777" w:rsidR="002A2C62" w:rsidRPr="00656DC0" w:rsidRDefault="002A2C62" w:rsidP="002A2C62">
      <w:pPr>
        <w:pStyle w:val="ListParagraph"/>
        <w:numPr>
          <w:ilvl w:val="1"/>
          <w:numId w:val="4"/>
        </w:numPr>
      </w:pPr>
      <w:r w:rsidRPr="00656DC0">
        <w:t xml:space="preserve">Gates, Scott. 2017. “Membership Matters: Coerced Recruits and Rebel Allegiance.” </w:t>
      </w:r>
      <w:r w:rsidRPr="00656DC0">
        <w:rPr>
          <w:i/>
          <w:iCs/>
        </w:rPr>
        <w:t>Journal of Peace Research</w:t>
      </w:r>
      <w:r w:rsidRPr="00656DC0">
        <w:t xml:space="preserve"> 54 (5): 674–86. </w:t>
      </w:r>
    </w:p>
    <w:p w14:paraId="20092F2F" w14:textId="54F96E66" w:rsidR="002A2C62" w:rsidRPr="005F3225" w:rsidRDefault="002A2C62" w:rsidP="002A2C62">
      <w:pPr>
        <w:pStyle w:val="ListParagraph"/>
        <w:numPr>
          <w:ilvl w:val="1"/>
          <w:numId w:val="4"/>
        </w:numPr>
      </w:pPr>
      <w:r w:rsidRPr="005F3225">
        <w:t xml:space="preserve">Petersen, Roger D. 2009. </w:t>
      </w:r>
      <w:r w:rsidRPr="005F3225">
        <w:rPr>
          <w:i/>
          <w:iCs/>
        </w:rPr>
        <w:t>Resistance and Rebellion: Lessons from Eastern Europe</w:t>
      </w:r>
      <w:r w:rsidRPr="005F3225">
        <w:t xml:space="preserve">. Cambridge University Press. </w:t>
      </w:r>
      <w:r w:rsidRPr="005F3225">
        <w:sym w:font="Wingdings" w:char="F0E0"/>
      </w:r>
      <w:r w:rsidRPr="005F3225">
        <w:t xml:space="preserve"> </w:t>
      </w:r>
      <w:r>
        <w:t>Chapters 1,</w:t>
      </w:r>
      <w:r w:rsidR="00C004BF">
        <w:t xml:space="preserve"> </w:t>
      </w:r>
      <w:r>
        <w:t>2,</w:t>
      </w:r>
      <w:r w:rsidR="00C004BF">
        <w:t xml:space="preserve"> </w:t>
      </w:r>
      <w:r>
        <w:t>4,</w:t>
      </w:r>
      <w:r w:rsidR="00C004BF">
        <w:t xml:space="preserve"> </w:t>
      </w:r>
      <w:r>
        <w:t>9</w:t>
      </w:r>
    </w:p>
    <w:p w14:paraId="1B63F020" w14:textId="77777777" w:rsidR="002A2C62" w:rsidRPr="00656DC0" w:rsidRDefault="002A2C62" w:rsidP="002A2C62">
      <w:pPr>
        <w:pStyle w:val="ListParagraph"/>
        <w:ind w:left="1440"/>
        <w:rPr>
          <w:bCs/>
        </w:rPr>
      </w:pPr>
    </w:p>
    <w:p w14:paraId="63FFAB21" w14:textId="77777777" w:rsidR="002A2C62" w:rsidRDefault="002A2C62" w:rsidP="002A2C62">
      <w:pPr>
        <w:pStyle w:val="ListParagraph"/>
        <w:numPr>
          <w:ilvl w:val="0"/>
          <w:numId w:val="4"/>
        </w:numPr>
        <w:rPr>
          <w:bCs/>
        </w:rPr>
      </w:pPr>
      <w:r w:rsidRPr="00656DC0">
        <w:rPr>
          <w:bCs/>
        </w:rPr>
        <w:t>Violence Against Civilians: Causes</w:t>
      </w:r>
      <w:r>
        <w:rPr>
          <w:bCs/>
        </w:rPr>
        <w:t xml:space="preserve"> 1</w:t>
      </w:r>
    </w:p>
    <w:p w14:paraId="6254F0F8" w14:textId="77777777" w:rsidR="002A2C62" w:rsidRDefault="002A2C62" w:rsidP="002A2C62">
      <w:pPr>
        <w:pStyle w:val="ListParagraph"/>
        <w:rPr>
          <w:bCs/>
        </w:rPr>
      </w:pPr>
    </w:p>
    <w:p w14:paraId="6FAD4E15" w14:textId="77777777" w:rsidR="002A2C62" w:rsidRDefault="002A2C62" w:rsidP="002A2C62">
      <w:pPr>
        <w:pStyle w:val="ListParagraph"/>
        <w:numPr>
          <w:ilvl w:val="1"/>
          <w:numId w:val="4"/>
        </w:numPr>
      </w:pPr>
      <w:r>
        <w:t xml:space="preserve">Gutiérrez-Sanín, Francisco, and Elisabeth Jean Wood. 2017. “What Should We Mean by ‘Pattern of Political Violence’? Repertoire, Targeting, Frequency, and Technique.” </w:t>
      </w:r>
      <w:r w:rsidRPr="00E06C79">
        <w:rPr>
          <w:i/>
          <w:iCs/>
        </w:rPr>
        <w:t>Perspectives on Politics</w:t>
      </w:r>
      <w:r>
        <w:t xml:space="preserve"> 15 (01): 20–41. </w:t>
      </w:r>
    </w:p>
    <w:p w14:paraId="66995C5C" w14:textId="63FEB83E" w:rsidR="002A2C62" w:rsidRPr="005F3225" w:rsidRDefault="002A2C62" w:rsidP="002A2C62">
      <w:pPr>
        <w:pStyle w:val="ListParagraph"/>
        <w:numPr>
          <w:ilvl w:val="1"/>
          <w:numId w:val="4"/>
        </w:numPr>
      </w:pPr>
      <w:r>
        <w:t xml:space="preserve">Balcells, Laia. 2010. “Rivalry and Revenge: Violence against Civilians in Conventional Civil Wars.” </w:t>
      </w:r>
      <w:r w:rsidRPr="007660C8">
        <w:rPr>
          <w:i/>
          <w:iCs/>
        </w:rPr>
        <w:t>International Studies Quarterly</w:t>
      </w:r>
      <w:r>
        <w:t xml:space="preserve"> 54 (2): 291–313. </w:t>
      </w:r>
    </w:p>
    <w:p w14:paraId="24792272" w14:textId="77777777" w:rsidR="002A2C62" w:rsidRPr="005F3225" w:rsidRDefault="002A2C62" w:rsidP="002A2C62">
      <w:pPr>
        <w:pStyle w:val="ListParagraph"/>
        <w:numPr>
          <w:ilvl w:val="1"/>
          <w:numId w:val="4"/>
        </w:numPr>
      </w:pPr>
      <w:r w:rsidRPr="005F3225">
        <w:t xml:space="preserve">Cohen, Dara Kay. 2013. “Explaining Rape during Civil War: Cross-National Evidence (1980–2009).” </w:t>
      </w:r>
      <w:r w:rsidRPr="005F3225">
        <w:rPr>
          <w:i/>
          <w:iCs/>
        </w:rPr>
        <w:t>American Political Science Review</w:t>
      </w:r>
      <w:r w:rsidRPr="005F3225">
        <w:t xml:space="preserve"> 107 (03): 461–77. </w:t>
      </w:r>
    </w:p>
    <w:p w14:paraId="562B2DE7" w14:textId="77777777" w:rsidR="002A2C62" w:rsidRDefault="002A2C62" w:rsidP="002A2C62">
      <w:pPr>
        <w:pStyle w:val="ListParagraph"/>
        <w:numPr>
          <w:ilvl w:val="1"/>
          <w:numId w:val="4"/>
        </w:numPr>
      </w:pPr>
      <w:r>
        <w:t xml:space="preserve">Kalyvas, Stathis. 2006. </w:t>
      </w:r>
      <w:r w:rsidRPr="007660C8">
        <w:rPr>
          <w:i/>
          <w:iCs/>
        </w:rPr>
        <w:t>The Logic of Violence in Civil War</w:t>
      </w:r>
      <w:r>
        <w:t xml:space="preserve">. Cambridge: Cambridge University Press. </w:t>
      </w:r>
      <w:r>
        <w:sym w:font="Wingdings" w:char="F0E0"/>
      </w:r>
      <w:r>
        <w:t xml:space="preserve"> Chapters 4-7</w:t>
      </w:r>
    </w:p>
    <w:p w14:paraId="518CE37D" w14:textId="47D83CF3" w:rsidR="002A2C62" w:rsidRDefault="002A2C62" w:rsidP="002A2C62">
      <w:pPr>
        <w:pStyle w:val="ListParagraph"/>
        <w:numPr>
          <w:ilvl w:val="1"/>
          <w:numId w:val="4"/>
        </w:numPr>
      </w:pPr>
      <w:r>
        <w:t xml:space="preserve">Steele, Abbey. 2017. </w:t>
      </w:r>
      <w:r w:rsidRPr="007660C8">
        <w:rPr>
          <w:i/>
          <w:iCs/>
        </w:rPr>
        <w:t>Democracy and Displacement in Colombia’s Civil War</w:t>
      </w:r>
      <w:r>
        <w:t xml:space="preserve">. Cornell University Press. </w:t>
      </w:r>
      <w:r>
        <w:sym w:font="Wingdings" w:char="F0E0"/>
      </w:r>
      <w:r>
        <w:t xml:space="preserve"> Chapters 1, 5, and 6</w:t>
      </w:r>
    </w:p>
    <w:p w14:paraId="4DA72266" w14:textId="7E8281AF" w:rsidR="00C27C7B" w:rsidRPr="005F3225" w:rsidRDefault="00C27C7B" w:rsidP="00C27C7B">
      <w:pPr>
        <w:pStyle w:val="ListParagraph"/>
        <w:numPr>
          <w:ilvl w:val="1"/>
          <w:numId w:val="4"/>
        </w:numPr>
      </w:pPr>
      <w:r>
        <w:t xml:space="preserve">Bell, Andrew. 2021. “Combatant Socialization and Norms of Restraint: Examining Officer Training at the US Military Academy and Army ROTC.” </w:t>
      </w:r>
      <w:r w:rsidRPr="00C27C7B">
        <w:rPr>
          <w:i/>
          <w:iCs/>
        </w:rPr>
        <w:t>Journal of Peace Research</w:t>
      </w:r>
      <w:r>
        <w:t xml:space="preserve"> 59(2): 180–96.</w:t>
      </w:r>
    </w:p>
    <w:p w14:paraId="250013D2" w14:textId="77777777" w:rsidR="002A2C62" w:rsidRPr="00656DC0" w:rsidRDefault="002A2C62" w:rsidP="002A2C62">
      <w:pPr>
        <w:pStyle w:val="ListParagraph"/>
        <w:ind w:left="1440"/>
        <w:rPr>
          <w:bCs/>
        </w:rPr>
      </w:pPr>
    </w:p>
    <w:p w14:paraId="0F0517DD" w14:textId="77777777" w:rsidR="002A2C62" w:rsidRDefault="002A2C62" w:rsidP="002A2C62">
      <w:pPr>
        <w:pStyle w:val="ListParagraph"/>
        <w:numPr>
          <w:ilvl w:val="0"/>
          <w:numId w:val="4"/>
        </w:numPr>
        <w:rPr>
          <w:bCs/>
        </w:rPr>
      </w:pPr>
      <w:r>
        <w:rPr>
          <w:bCs/>
        </w:rPr>
        <w:t>Violence Against Civilians: Causes 2</w:t>
      </w:r>
    </w:p>
    <w:p w14:paraId="51713214" w14:textId="77777777" w:rsidR="002A2C62" w:rsidRDefault="002A2C62" w:rsidP="002A2C62">
      <w:pPr>
        <w:pStyle w:val="ListParagraph"/>
        <w:rPr>
          <w:bCs/>
        </w:rPr>
      </w:pPr>
    </w:p>
    <w:p w14:paraId="7E9B1D53" w14:textId="77777777" w:rsidR="002A2C62" w:rsidRDefault="002A2C62" w:rsidP="002A2C62">
      <w:pPr>
        <w:pStyle w:val="ListParagraph"/>
        <w:numPr>
          <w:ilvl w:val="1"/>
          <w:numId w:val="4"/>
        </w:numPr>
      </w:pPr>
      <w:r w:rsidRPr="005F3225">
        <w:t xml:space="preserve">Hoover Green, Amelia. 2016. “The Commander’s Dilemma: Creating and Controlling Armed Group Violence.” </w:t>
      </w:r>
      <w:r w:rsidRPr="005F3225">
        <w:rPr>
          <w:i/>
          <w:iCs/>
        </w:rPr>
        <w:t>Journal of Peace Research</w:t>
      </w:r>
      <w:r w:rsidRPr="005F3225">
        <w:t xml:space="preserve"> 53 (5): 619–32. </w:t>
      </w:r>
    </w:p>
    <w:p w14:paraId="1FC10738" w14:textId="3CE05A38" w:rsidR="002A2C62" w:rsidRDefault="002A2C62" w:rsidP="002A2C62">
      <w:pPr>
        <w:pStyle w:val="ListParagraph"/>
        <w:numPr>
          <w:ilvl w:val="1"/>
          <w:numId w:val="4"/>
        </w:numPr>
      </w:pPr>
      <w:r w:rsidRPr="005F3225">
        <w:lastRenderedPageBreak/>
        <w:t xml:space="preserve">Weinstein, Jeremy M. 2006. </w:t>
      </w:r>
      <w:r w:rsidRPr="005F3225">
        <w:rPr>
          <w:i/>
          <w:iCs/>
        </w:rPr>
        <w:t>Inside Rebellion: The Politics of Insurgent Violence</w:t>
      </w:r>
      <w:r w:rsidRPr="005F3225">
        <w:t xml:space="preserve">. Cambridge University Press. </w:t>
      </w:r>
      <w:r>
        <w:t xml:space="preserve"> </w:t>
      </w:r>
      <w:r>
        <w:sym w:font="Wingdings" w:char="F0E0"/>
      </w:r>
      <w:r>
        <w:t xml:space="preserve"> Introduction, Chapter 1, Chapter 2</w:t>
      </w:r>
    </w:p>
    <w:p w14:paraId="4B3EB1CE" w14:textId="05F1E998" w:rsidR="002A2C62" w:rsidRDefault="002A2C62" w:rsidP="002A2C62">
      <w:pPr>
        <w:pStyle w:val="ListParagraph"/>
        <w:numPr>
          <w:ilvl w:val="1"/>
          <w:numId w:val="4"/>
        </w:numPr>
      </w:pPr>
      <w:r>
        <w:t xml:space="preserve">Straus, Scott. 2015. </w:t>
      </w:r>
      <w:r w:rsidRPr="00E06C79">
        <w:rPr>
          <w:i/>
          <w:iCs/>
        </w:rPr>
        <w:t>Making and Unmaking Nations: War, Leadership, and Genocide in Modern Africa</w:t>
      </w:r>
      <w:r>
        <w:t xml:space="preserve">. Cornell University Press. </w:t>
      </w:r>
      <w:r>
        <w:sym w:font="Wingdings" w:char="F0E0"/>
      </w:r>
      <w:r>
        <w:t xml:space="preserve"> Chapters 1-3</w:t>
      </w:r>
    </w:p>
    <w:p w14:paraId="4719AF73" w14:textId="77777777" w:rsidR="007E79EC" w:rsidRDefault="007E79EC" w:rsidP="007E79EC">
      <w:pPr>
        <w:pStyle w:val="ListParagraph"/>
        <w:numPr>
          <w:ilvl w:val="1"/>
          <w:numId w:val="4"/>
        </w:numPr>
      </w:pPr>
      <w:r>
        <w:t xml:space="preserve">Stanton, Jessica A. 2020. “Rebel Groups, International Humanitarian Law, and Civil War Outcomes in the Post-Cold War Era.” </w:t>
      </w:r>
      <w:r w:rsidRPr="007E79EC">
        <w:rPr>
          <w:i/>
          <w:iCs/>
        </w:rPr>
        <w:t>International Organization</w:t>
      </w:r>
      <w:r>
        <w:t xml:space="preserve"> 74(3): 523–59.</w:t>
      </w:r>
    </w:p>
    <w:p w14:paraId="646D0762" w14:textId="151204ED" w:rsidR="00CE7E17" w:rsidRDefault="00CE7E17" w:rsidP="00CE7E17">
      <w:pPr>
        <w:pStyle w:val="ListParagraph"/>
        <w:numPr>
          <w:ilvl w:val="1"/>
          <w:numId w:val="4"/>
        </w:numPr>
      </w:pPr>
      <w:r>
        <w:t xml:space="preserve">Heger, Lindsay L. 2015. “Votes and Violence: Pursuing Terrorism While Navigating Politics.” </w:t>
      </w:r>
      <w:r w:rsidRPr="00CE7E17">
        <w:rPr>
          <w:i/>
          <w:iCs/>
        </w:rPr>
        <w:t>Journal of Peace Research</w:t>
      </w:r>
      <w:r>
        <w:t xml:space="preserve"> 52 (1): 32–45. </w:t>
      </w:r>
    </w:p>
    <w:p w14:paraId="6F53A7AD" w14:textId="75A5C547" w:rsidR="007E79EC" w:rsidRPr="005F3225" w:rsidRDefault="007E79EC" w:rsidP="007E79EC">
      <w:pPr>
        <w:pStyle w:val="ListParagraph"/>
        <w:numPr>
          <w:ilvl w:val="1"/>
          <w:numId w:val="4"/>
        </w:numPr>
      </w:pPr>
      <w:r>
        <w:t xml:space="preserve">Dorff, Cassy, Max Gallop, and Shahryar Minhas. 2023. “Network Competition and Civilian Targeting during Civil Conflict.” </w:t>
      </w:r>
      <w:r w:rsidRPr="007E79EC">
        <w:rPr>
          <w:i/>
          <w:iCs/>
        </w:rPr>
        <w:t>British Journal of Political Science</w:t>
      </w:r>
      <w:r>
        <w:t xml:space="preserve"> 53(2): 441–59.</w:t>
      </w:r>
    </w:p>
    <w:p w14:paraId="63E827E3" w14:textId="77777777" w:rsidR="002A2C62" w:rsidRPr="00656DC0" w:rsidRDefault="002A2C62" w:rsidP="002A2C62">
      <w:pPr>
        <w:pStyle w:val="ListParagraph"/>
        <w:ind w:left="1440"/>
        <w:rPr>
          <w:bCs/>
        </w:rPr>
      </w:pPr>
    </w:p>
    <w:p w14:paraId="5C4F2241" w14:textId="77777777" w:rsidR="002A2C62" w:rsidRDefault="002A2C62" w:rsidP="002A2C62">
      <w:pPr>
        <w:pStyle w:val="ListParagraph"/>
        <w:numPr>
          <w:ilvl w:val="0"/>
          <w:numId w:val="4"/>
        </w:numPr>
        <w:rPr>
          <w:bCs/>
        </w:rPr>
      </w:pPr>
      <w:r>
        <w:rPr>
          <w:bCs/>
        </w:rPr>
        <w:t>Violence Against Civilians: Effects</w:t>
      </w:r>
    </w:p>
    <w:p w14:paraId="62E1FBF1" w14:textId="77777777" w:rsidR="002A2C62" w:rsidRDefault="002A2C62" w:rsidP="002A2C62">
      <w:pPr>
        <w:pStyle w:val="ListParagraph"/>
        <w:rPr>
          <w:bCs/>
        </w:rPr>
      </w:pPr>
    </w:p>
    <w:p w14:paraId="128B2EB6" w14:textId="170004E5" w:rsidR="002A2C62" w:rsidRDefault="002A2C62" w:rsidP="002A2C62">
      <w:pPr>
        <w:pStyle w:val="ListParagraph"/>
        <w:numPr>
          <w:ilvl w:val="1"/>
          <w:numId w:val="4"/>
        </w:numPr>
      </w:pPr>
      <w:r w:rsidRPr="005F3225">
        <w:t>Kalyvas, Stathis N., and Matthew Adam Kocher. 2007. “How ‘Free’ Is Free Riding in Civil Wars?</w:t>
      </w:r>
      <w:r w:rsidR="00C004BF">
        <w:t xml:space="preserve"> </w:t>
      </w:r>
      <w:r w:rsidRPr="005F3225">
        <w:t xml:space="preserve">Violence, Insurgency, and the Collective Action Problem.” </w:t>
      </w:r>
      <w:r w:rsidRPr="005F3225">
        <w:rPr>
          <w:i/>
          <w:iCs/>
        </w:rPr>
        <w:t>World Politics</w:t>
      </w:r>
      <w:r w:rsidRPr="005F3225">
        <w:t xml:space="preserve"> 59 (2): 177–216. </w:t>
      </w:r>
    </w:p>
    <w:p w14:paraId="008BADA6" w14:textId="77777777" w:rsidR="002A2C62" w:rsidRPr="005F3225" w:rsidRDefault="002A2C62" w:rsidP="002A2C62">
      <w:pPr>
        <w:pStyle w:val="ListParagraph"/>
        <w:numPr>
          <w:ilvl w:val="1"/>
          <w:numId w:val="4"/>
        </w:numPr>
      </w:pPr>
      <w:r>
        <w:t xml:space="preserve">Lyall, Jason, Graeme Blair, and Imai Kosuke. 2013. “Explaining Support for Combatants during Wartime: A Survey Experiment in Afghanistan.” </w:t>
      </w:r>
      <w:r w:rsidRPr="00731F8F">
        <w:rPr>
          <w:i/>
          <w:iCs/>
        </w:rPr>
        <w:t>The American Political Science Review</w:t>
      </w:r>
      <w:r>
        <w:t xml:space="preserve"> 107 (4): 679–705.</w:t>
      </w:r>
    </w:p>
    <w:p w14:paraId="09916F42" w14:textId="3DEF014F" w:rsidR="002A2C62" w:rsidRDefault="002A2C62" w:rsidP="002A2C62">
      <w:pPr>
        <w:pStyle w:val="ListParagraph"/>
        <w:numPr>
          <w:ilvl w:val="1"/>
          <w:numId w:val="4"/>
        </w:numPr>
      </w:pPr>
      <w:r>
        <w:t xml:space="preserve">Wood, Elisabeth. 2003. </w:t>
      </w:r>
      <w:r w:rsidRPr="00E06C79">
        <w:rPr>
          <w:i/>
          <w:iCs/>
        </w:rPr>
        <w:t>Insurgent Collective Action and Civil War in El Salvador</w:t>
      </w:r>
      <w:r>
        <w:t xml:space="preserve">. Cambridge University Press. </w:t>
      </w:r>
      <w:r>
        <w:sym w:font="Wingdings" w:char="F0E0"/>
      </w:r>
      <w:r>
        <w:t xml:space="preserve"> Chapters 1, 7, 8</w:t>
      </w:r>
    </w:p>
    <w:p w14:paraId="2B65E210" w14:textId="77777777" w:rsidR="002A2C62" w:rsidRPr="00731F8F" w:rsidRDefault="002A2C62" w:rsidP="002A2C62">
      <w:pPr>
        <w:pStyle w:val="ListParagraph"/>
        <w:numPr>
          <w:ilvl w:val="1"/>
          <w:numId w:val="4"/>
        </w:numPr>
        <w:rPr>
          <w:bCs/>
        </w:rPr>
      </w:pPr>
      <w:r>
        <w:t xml:space="preserve">Kaplan, Oliver. 2013. “Protecting Civilians in Civil War: The Institution of the ATCC in Colombia.” </w:t>
      </w:r>
      <w:r w:rsidRPr="00731F8F">
        <w:rPr>
          <w:i/>
          <w:iCs/>
        </w:rPr>
        <w:t>Journal of Peace Research</w:t>
      </w:r>
      <w:r>
        <w:t xml:space="preserve"> 50 (3): 351–67. </w:t>
      </w:r>
    </w:p>
    <w:p w14:paraId="7E9E4FCC" w14:textId="77777777" w:rsidR="002A2C62" w:rsidRPr="00731F8F" w:rsidRDefault="002A2C62" w:rsidP="002A2C62">
      <w:pPr>
        <w:pStyle w:val="ListParagraph"/>
        <w:numPr>
          <w:ilvl w:val="1"/>
          <w:numId w:val="4"/>
        </w:numPr>
        <w:rPr>
          <w:bCs/>
        </w:rPr>
      </w:pPr>
      <w:r>
        <w:t xml:space="preserve">Daly, Sarah Zukerman. 2019. “Voting for Victors: Why Violent Actors Win Postwar Elections.” </w:t>
      </w:r>
      <w:r w:rsidRPr="00731F8F">
        <w:rPr>
          <w:i/>
          <w:iCs/>
        </w:rPr>
        <w:t>World Politics</w:t>
      </w:r>
      <w:r>
        <w:t xml:space="preserve"> 71 (4): 1–59. </w:t>
      </w:r>
    </w:p>
    <w:p w14:paraId="395D16F8" w14:textId="2284E907" w:rsidR="00C004BF" w:rsidRDefault="00C004BF" w:rsidP="00C004BF">
      <w:pPr>
        <w:pStyle w:val="ListParagraph"/>
        <w:numPr>
          <w:ilvl w:val="1"/>
          <w:numId w:val="4"/>
        </w:numPr>
      </w:pPr>
      <w:r>
        <w:t xml:space="preserve">Schubiger, Livia Isabella. 2021. “State Violence and Wartime Civilian Agency: Evidence from Peru.” </w:t>
      </w:r>
      <w:r w:rsidRPr="00C004BF">
        <w:rPr>
          <w:i/>
          <w:iCs/>
        </w:rPr>
        <w:t>The Journal of Politics</w:t>
      </w:r>
      <w:r>
        <w:t xml:space="preserve"> 83 (4): 1383–98. </w:t>
      </w:r>
    </w:p>
    <w:p w14:paraId="29C6D77D" w14:textId="77777777" w:rsidR="002A2C62" w:rsidRPr="00731F8F" w:rsidRDefault="002A2C62" w:rsidP="002A2C62">
      <w:pPr>
        <w:rPr>
          <w:bCs/>
        </w:rPr>
      </w:pPr>
    </w:p>
    <w:p w14:paraId="4C459101" w14:textId="77777777" w:rsidR="002A2C62" w:rsidRDefault="002A2C62" w:rsidP="002A2C62">
      <w:pPr>
        <w:pStyle w:val="ListParagraph"/>
        <w:numPr>
          <w:ilvl w:val="0"/>
          <w:numId w:val="4"/>
        </w:numPr>
        <w:rPr>
          <w:bCs/>
        </w:rPr>
      </w:pPr>
      <w:r w:rsidRPr="00656DC0">
        <w:rPr>
          <w:bCs/>
        </w:rPr>
        <w:t>Fragmentation</w:t>
      </w:r>
      <w:r>
        <w:rPr>
          <w:bCs/>
        </w:rPr>
        <w:t xml:space="preserve">, </w:t>
      </w:r>
      <w:r w:rsidRPr="00656DC0">
        <w:rPr>
          <w:bCs/>
        </w:rPr>
        <w:t>Alliances</w:t>
      </w:r>
      <w:r>
        <w:rPr>
          <w:bCs/>
        </w:rPr>
        <w:t>, &amp; Cohesion</w:t>
      </w:r>
    </w:p>
    <w:p w14:paraId="23D8AEDA" w14:textId="77777777" w:rsidR="002A2C62" w:rsidRDefault="002A2C62" w:rsidP="002A2C62">
      <w:pPr>
        <w:pStyle w:val="ListParagraph"/>
        <w:rPr>
          <w:bCs/>
        </w:rPr>
      </w:pPr>
    </w:p>
    <w:p w14:paraId="4AB8B2B8" w14:textId="77777777" w:rsidR="002A2C62" w:rsidRDefault="002A2C62" w:rsidP="002A2C62">
      <w:pPr>
        <w:pStyle w:val="ListParagraph"/>
        <w:numPr>
          <w:ilvl w:val="1"/>
          <w:numId w:val="4"/>
        </w:numPr>
      </w:pPr>
      <w:r>
        <w:t xml:space="preserve">Staniland, Paul. 2014. </w:t>
      </w:r>
      <w:r w:rsidRPr="00731F8F">
        <w:rPr>
          <w:i/>
          <w:iCs/>
        </w:rPr>
        <w:t>Networks of Rebellion: Explaining Insurgent Cohesion and Collapse</w:t>
      </w:r>
      <w:r>
        <w:t xml:space="preserve">. Cornell University Press. </w:t>
      </w:r>
      <w:r>
        <w:sym w:font="Wingdings" w:char="F0E0"/>
      </w:r>
      <w:r>
        <w:t xml:space="preserve"> Chapters 1-3</w:t>
      </w:r>
    </w:p>
    <w:p w14:paraId="2AAD084C" w14:textId="77777777" w:rsidR="002A2C62" w:rsidRDefault="002A2C62" w:rsidP="002A2C62">
      <w:pPr>
        <w:pStyle w:val="ListParagraph"/>
        <w:numPr>
          <w:ilvl w:val="1"/>
          <w:numId w:val="4"/>
        </w:numPr>
      </w:pPr>
      <w:r>
        <w:t xml:space="preserve">Christia, Fotini. 2012. </w:t>
      </w:r>
      <w:r w:rsidRPr="00D16F1B">
        <w:rPr>
          <w:i/>
          <w:iCs/>
        </w:rPr>
        <w:t>Alliance Formation in Civil Wars</w:t>
      </w:r>
      <w:r>
        <w:t xml:space="preserve">. Cambridge University Press. </w:t>
      </w:r>
      <w:r>
        <w:sym w:font="Wingdings" w:char="F0E0"/>
      </w:r>
      <w:r>
        <w:t xml:space="preserve"> Chapters 1-2</w:t>
      </w:r>
    </w:p>
    <w:p w14:paraId="4B242214" w14:textId="77777777" w:rsidR="002A2C62" w:rsidRDefault="002A2C62" w:rsidP="002A2C62">
      <w:pPr>
        <w:pStyle w:val="ListParagraph"/>
        <w:numPr>
          <w:ilvl w:val="1"/>
          <w:numId w:val="4"/>
        </w:numPr>
      </w:pPr>
      <w:r>
        <w:t xml:space="preserve">Oppenheim, Ben, Abbey Steele, Juan F. Vargas, and Michael Weintraub. 2015. “True Believers, Deserters, and Traitors: Who Leaves Insurgent Groups and Why.” </w:t>
      </w:r>
      <w:r w:rsidRPr="00D16F1B">
        <w:rPr>
          <w:i/>
          <w:iCs/>
        </w:rPr>
        <w:t>Journal of Conflict Resolution</w:t>
      </w:r>
      <w:r>
        <w:t xml:space="preserve"> 59 (5): 794–823. </w:t>
      </w:r>
    </w:p>
    <w:p w14:paraId="443C2445" w14:textId="77777777" w:rsidR="002A2C62" w:rsidRDefault="002A2C62" w:rsidP="002A2C62">
      <w:pPr>
        <w:pStyle w:val="ListParagraph"/>
        <w:numPr>
          <w:ilvl w:val="1"/>
          <w:numId w:val="4"/>
        </w:numPr>
      </w:pPr>
      <w:r>
        <w:t xml:space="preserve">Carey, Sabine C., Michael P. Colaresi, and Neil J. Mitchell. 2015. “Governments, Informal Links to Militias, and Accountability.” </w:t>
      </w:r>
      <w:r w:rsidRPr="00D16F1B">
        <w:rPr>
          <w:i/>
          <w:iCs/>
        </w:rPr>
        <w:t>Journal of Conflict Resolution</w:t>
      </w:r>
      <w:r>
        <w:t xml:space="preserve"> 59 (5): 850–76. </w:t>
      </w:r>
    </w:p>
    <w:p w14:paraId="52483E16" w14:textId="6B539238" w:rsidR="002A2C62" w:rsidRDefault="002A2C62" w:rsidP="002A2C62">
      <w:pPr>
        <w:pStyle w:val="ListParagraph"/>
        <w:numPr>
          <w:ilvl w:val="1"/>
          <w:numId w:val="4"/>
        </w:numPr>
      </w:pPr>
      <w:r>
        <w:t xml:space="preserve">Cunningham, Kathleen Gallagher. 2013. “Actor Fragmentation and Civil War Bargaining: How Internal Divisions Generate Civil Conflict.” </w:t>
      </w:r>
      <w:r w:rsidRPr="00D16F1B">
        <w:rPr>
          <w:i/>
          <w:iCs/>
        </w:rPr>
        <w:t>American Journal of Political Science</w:t>
      </w:r>
      <w:r>
        <w:t xml:space="preserve"> 57 (3): 659–72.</w:t>
      </w:r>
    </w:p>
    <w:p w14:paraId="001D5EAA" w14:textId="28C88F89" w:rsidR="00726BF2" w:rsidRDefault="00726BF2" w:rsidP="00726BF2">
      <w:pPr>
        <w:pStyle w:val="ListParagraph"/>
        <w:numPr>
          <w:ilvl w:val="1"/>
          <w:numId w:val="4"/>
        </w:numPr>
      </w:pPr>
      <w:r>
        <w:lastRenderedPageBreak/>
        <w:t xml:space="preserve">Schubiger, Livia Isabella. 2023. “One for All? State Violence and Insurgent Cohesion.” </w:t>
      </w:r>
      <w:r w:rsidRPr="00726BF2">
        <w:rPr>
          <w:i/>
          <w:iCs/>
        </w:rPr>
        <w:t>International Organization</w:t>
      </w:r>
      <w:r>
        <w:t xml:space="preserve"> 77(1): 33–64.</w:t>
      </w:r>
    </w:p>
    <w:p w14:paraId="3882B5B9" w14:textId="77777777" w:rsidR="002A2C62" w:rsidRDefault="002A2C62" w:rsidP="002A2C62">
      <w:pPr>
        <w:pStyle w:val="ListParagraph"/>
        <w:ind w:left="1440"/>
        <w:rPr>
          <w:bCs/>
        </w:rPr>
      </w:pPr>
    </w:p>
    <w:p w14:paraId="09824AFC" w14:textId="77777777" w:rsidR="002A2C62" w:rsidRDefault="002A2C62" w:rsidP="002A2C62">
      <w:pPr>
        <w:pStyle w:val="ListParagraph"/>
        <w:numPr>
          <w:ilvl w:val="0"/>
          <w:numId w:val="4"/>
        </w:numPr>
        <w:rPr>
          <w:bCs/>
        </w:rPr>
      </w:pPr>
      <w:r>
        <w:rPr>
          <w:bCs/>
        </w:rPr>
        <w:t>Armed Group Governance</w:t>
      </w:r>
    </w:p>
    <w:p w14:paraId="668351AD" w14:textId="77777777" w:rsidR="002A2C62" w:rsidRDefault="002A2C62" w:rsidP="002A2C62">
      <w:pPr>
        <w:pStyle w:val="ListParagraph"/>
        <w:rPr>
          <w:bCs/>
        </w:rPr>
      </w:pPr>
    </w:p>
    <w:p w14:paraId="56E15986" w14:textId="0C39B85E" w:rsidR="002A2C62" w:rsidRDefault="002A2C62" w:rsidP="002A2C62">
      <w:pPr>
        <w:pStyle w:val="ListParagraph"/>
        <w:numPr>
          <w:ilvl w:val="1"/>
          <w:numId w:val="4"/>
        </w:numPr>
      </w:pPr>
      <w:r>
        <w:t xml:space="preserve">Arjona, Ana. 2016. </w:t>
      </w:r>
      <w:r w:rsidRPr="00D16F1B">
        <w:rPr>
          <w:i/>
          <w:iCs/>
        </w:rPr>
        <w:t>Rebelocracy</w:t>
      </w:r>
      <w:r>
        <w:t xml:space="preserve">. Cambridge University Press. </w:t>
      </w:r>
      <w:r>
        <w:sym w:font="Wingdings" w:char="F0E0"/>
      </w:r>
      <w:r>
        <w:t xml:space="preserve"> Chapters 1-3</w:t>
      </w:r>
    </w:p>
    <w:p w14:paraId="1E34574D" w14:textId="43AE9B6A" w:rsidR="002A2C62" w:rsidRDefault="002A2C62" w:rsidP="002A2C62">
      <w:pPr>
        <w:pStyle w:val="ListParagraph"/>
        <w:numPr>
          <w:ilvl w:val="1"/>
          <w:numId w:val="4"/>
        </w:numPr>
      </w:pPr>
      <w:r>
        <w:t xml:space="preserve">Mampilly, Zachariah Cherian. 2012. </w:t>
      </w:r>
      <w:r w:rsidRPr="00D16F1B">
        <w:rPr>
          <w:i/>
          <w:iCs/>
        </w:rPr>
        <w:t>Rebel Rulers: Insurgent Governance and Civilian Life during War</w:t>
      </w:r>
      <w:r>
        <w:t xml:space="preserve">. Cornell University Press. </w:t>
      </w:r>
      <w:r>
        <w:sym w:font="Wingdings" w:char="F0E0"/>
      </w:r>
      <w:r>
        <w:t xml:space="preserve"> Chapters 1-3</w:t>
      </w:r>
    </w:p>
    <w:p w14:paraId="5905F4D8" w14:textId="77777777" w:rsidR="002A2C62" w:rsidRDefault="002A2C62" w:rsidP="002A2C62">
      <w:pPr>
        <w:pStyle w:val="ListParagraph"/>
        <w:numPr>
          <w:ilvl w:val="1"/>
          <w:numId w:val="4"/>
        </w:numPr>
      </w:pPr>
      <w:r>
        <w:t xml:space="preserve">Mampilly, Zachariah, and Megan A. Stewart. 2020. “A Typology of Rebel Political Institutional Arrangements.” </w:t>
      </w:r>
      <w:r w:rsidRPr="00D16F1B">
        <w:rPr>
          <w:i/>
          <w:iCs/>
        </w:rPr>
        <w:t>Journal of Conflict Resolution</w:t>
      </w:r>
      <w:r>
        <w:t>: 1-31.</w:t>
      </w:r>
    </w:p>
    <w:p w14:paraId="548EF46F" w14:textId="77777777" w:rsidR="002A2C62" w:rsidRDefault="002A2C62" w:rsidP="002A2C62">
      <w:pPr>
        <w:pStyle w:val="ListParagraph"/>
        <w:numPr>
          <w:ilvl w:val="1"/>
          <w:numId w:val="4"/>
        </w:numPr>
      </w:pPr>
      <w:r>
        <w:t xml:space="preserve">Matanock, Aila M., and Paul Staniland. 2018. “How and Why Armed Groups Participate in Elections.” </w:t>
      </w:r>
      <w:r w:rsidRPr="00D16F1B">
        <w:rPr>
          <w:i/>
          <w:iCs/>
        </w:rPr>
        <w:t>Perspectives on Politics</w:t>
      </w:r>
      <w:r>
        <w:t xml:space="preserve"> 16 (3): 710–27. </w:t>
      </w:r>
    </w:p>
    <w:p w14:paraId="0B442ABB" w14:textId="0425F02A" w:rsidR="002A2C62" w:rsidRDefault="002A2C62" w:rsidP="002A2C62">
      <w:pPr>
        <w:pStyle w:val="ListParagraph"/>
        <w:numPr>
          <w:ilvl w:val="1"/>
          <w:numId w:val="4"/>
        </w:numPr>
      </w:pPr>
      <w:r>
        <w:t xml:space="preserve">Huang, Reyko. 2016. </w:t>
      </w:r>
      <w:r w:rsidRPr="00A108F7">
        <w:rPr>
          <w:i/>
          <w:iCs/>
        </w:rPr>
        <w:t>The Wartime Origins of Democratization: Civil War, Rebel Governance, and Political Regimes</w:t>
      </w:r>
      <w:r>
        <w:t xml:space="preserve">. Cambridge University Press. </w:t>
      </w:r>
      <w:r>
        <w:sym w:font="Wingdings" w:char="F0E0"/>
      </w:r>
      <w:r>
        <w:t xml:space="preserve"> Chapters 1-4</w:t>
      </w:r>
    </w:p>
    <w:p w14:paraId="3E7B4044" w14:textId="390B9401" w:rsidR="00AE0E8A" w:rsidRDefault="00AE0E8A" w:rsidP="00AE0E8A">
      <w:pPr>
        <w:pStyle w:val="ListParagraph"/>
        <w:numPr>
          <w:ilvl w:val="1"/>
          <w:numId w:val="4"/>
        </w:numPr>
      </w:pPr>
      <w:r>
        <w:t xml:space="preserve">Daly, Sarah Zukerman. 2021. “How Do Violent Politicians Govern? The Case of Paramilitary-Tied Mayors in Colombia.” </w:t>
      </w:r>
      <w:r w:rsidRPr="00AE0E8A">
        <w:rPr>
          <w:i/>
          <w:iCs/>
        </w:rPr>
        <w:t>British Journal of Political Science</w:t>
      </w:r>
      <w:r>
        <w:t xml:space="preserve">, </w:t>
      </w:r>
      <w:r w:rsidR="00333743">
        <w:t xml:space="preserve">52(4): 1852-1875. </w:t>
      </w:r>
      <w:r>
        <w:t xml:space="preserve"> </w:t>
      </w:r>
    </w:p>
    <w:p w14:paraId="51280AB2" w14:textId="77777777" w:rsidR="002A2C62" w:rsidRPr="00656DC0" w:rsidRDefault="002A2C62" w:rsidP="002A2C62">
      <w:pPr>
        <w:pStyle w:val="ListParagraph"/>
        <w:ind w:left="1440"/>
        <w:rPr>
          <w:bCs/>
        </w:rPr>
      </w:pPr>
    </w:p>
    <w:p w14:paraId="082F2270" w14:textId="77777777" w:rsidR="002A2C62" w:rsidRDefault="002A2C62" w:rsidP="002A2C62">
      <w:pPr>
        <w:pStyle w:val="ListParagraph"/>
        <w:numPr>
          <w:ilvl w:val="0"/>
          <w:numId w:val="4"/>
        </w:numPr>
        <w:rPr>
          <w:bCs/>
        </w:rPr>
      </w:pPr>
      <w:r w:rsidRPr="00656DC0">
        <w:rPr>
          <w:bCs/>
        </w:rPr>
        <w:t>Internationalization</w:t>
      </w:r>
    </w:p>
    <w:p w14:paraId="1348D903" w14:textId="77777777" w:rsidR="002A2C62" w:rsidRDefault="002A2C62" w:rsidP="002A2C62">
      <w:pPr>
        <w:pStyle w:val="ListParagraph"/>
        <w:rPr>
          <w:bCs/>
        </w:rPr>
      </w:pPr>
    </w:p>
    <w:p w14:paraId="6CBA1603" w14:textId="77777777" w:rsidR="002A2C62" w:rsidRPr="005F3225" w:rsidRDefault="002A2C62" w:rsidP="002A2C62">
      <w:pPr>
        <w:pStyle w:val="ListParagraph"/>
        <w:numPr>
          <w:ilvl w:val="1"/>
          <w:numId w:val="4"/>
        </w:numPr>
      </w:pPr>
      <w:r w:rsidRPr="005F3225">
        <w:t xml:space="preserve">Fortna, Virginia-Page. 2004. “Does Peacekeeping Work? International Intervention and the Duration of Peace After Civil War.” </w:t>
      </w:r>
      <w:r w:rsidRPr="005F3225">
        <w:rPr>
          <w:i/>
          <w:iCs/>
        </w:rPr>
        <w:t>International Studies Quarterly</w:t>
      </w:r>
      <w:r w:rsidRPr="005F3225">
        <w:t xml:space="preserve"> 48: 269–92.</w:t>
      </w:r>
    </w:p>
    <w:p w14:paraId="39EB6DB2" w14:textId="77777777" w:rsidR="002A2C62" w:rsidRDefault="002A2C62" w:rsidP="002A2C62">
      <w:pPr>
        <w:pStyle w:val="ListParagraph"/>
        <w:numPr>
          <w:ilvl w:val="1"/>
          <w:numId w:val="4"/>
        </w:numPr>
      </w:pPr>
      <w:r w:rsidRPr="005F3225">
        <w:t xml:space="preserve">Hultman, Lisa, Jacob Kathman, and Megan Shannon. 2013. “United Nations Peacekeeping and Civilian Protection in Civil War.” </w:t>
      </w:r>
      <w:r w:rsidRPr="005F3225">
        <w:rPr>
          <w:i/>
          <w:iCs/>
        </w:rPr>
        <w:t>American Journal of Political Science</w:t>
      </w:r>
      <w:r w:rsidRPr="005F3225">
        <w:t xml:space="preserve"> 57 (4): 875–91.</w:t>
      </w:r>
    </w:p>
    <w:p w14:paraId="17DC2234" w14:textId="77777777" w:rsidR="002A2C62" w:rsidRDefault="002A2C62" w:rsidP="002A2C62">
      <w:pPr>
        <w:pStyle w:val="ListParagraph"/>
        <w:numPr>
          <w:ilvl w:val="1"/>
          <w:numId w:val="4"/>
        </w:numPr>
      </w:pPr>
      <w:r w:rsidRPr="00235146">
        <w:t xml:space="preserve">Prorok, Alyssa K. 2017. “The (In)Compatibility of Peace and Justice? The International Criminal Court and Civil Conflict Termination.” </w:t>
      </w:r>
      <w:r w:rsidRPr="00235146">
        <w:rPr>
          <w:i/>
          <w:iCs/>
        </w:rPr>
        <w:t>International Organization</w:t>
      </w:r>
      <w:r w:rsidRPr="00235146">
        <w:t xml:space="preserve"> 71 (2): 213–43. </w:t>
      </w:r>
    </w:p>
    <w:p w14:paraId="7318E4E0" w14:textId="1D62A500" w:rsidR="002A2C62" w:rsidRPr="005F3225" w:rsidRDefault="002A2C62" w:rsidP="002A2C62">
      <w:pPr>
        <w:pStyle w:val="ListParagraph"/>
        <w:numPr>
          <w:ilvl w:val="1"/>
          <w:numId w:val="4"/>
        </w:numPr>
      </w:pPr>
      <w:r>
        <w:t xml:space="preserve">Autesserre, Séverine. 2010. </w:t>
      </w:r>
      <w:r w:rsidRPr="00235146">
        <w:rPr>
          <w:i/>
          <w:iCs/>
        </w:rPr>
        <w:t xml:space="preserve">The Trouble with the Congo: Local Violence </w:t>
      </w:r>
      <w:r>
        <w:rPr>
          <w:i/>
          <w:iCs/>
        </w:rPr>
        <w:t>a</w:t>
      </w:r>
      <w:r w:rsidRPr="00235146">
        <w:rPr>
          <w:i/>
          <w:iCs/>
        </w:rPr>
        <w:t xml:space="preserve">nd The Failure </w:t>
      </w:r>
      <w:r>
        <w:rPr>
          <w:i/>
          <w:iCs/>
        </w:rPr>
        <w:t>o</w:t>
      </w:r>
      <w:r w:rsidRPr="00235146">
        <w:rPr>
          <w:i/>
          <w:iCs/>
        </w:rPr>
        <w:t>f International Peacebuilding</w:t>
      </w:r>
      <w:r>
        <w:t xml:space="preserve">. Cambridge University Press. </w:t>
      </w:r>
      <w:r>
        <w:sym w:font="Wingdings" w:char="F0E0"/>
      </w:r>
      <w:r>
        <w:t xml:space="preserve"> Chapters 1 and 6</w:t>
      </w:r>
    </w:p>
    <w:p w14:paraId="1D116A3A" w14:textId="77777777" w:rsidR="002A2C62" w:rsidRDefault="002A2C62" w:rsidP="002A2C62">
      <w:pPr>
        <w:pStyle w:val="ListParagraph"/>
        <w:numPr>
          <w:ilvl w:val="1"/>
          <w:numId w:val="4"/>
        </w:numPr>
      </w:pPr>
      <w:r>
        <w:t xml:space="preserve">Buhaug, Halvard, and Kristian Skrede Gleditsch. 2008. “Contagion or Confusion? Why Conflicts Cluster in Space.” </w:t>
      </w:r>
      <w:r w:rsidRPr="00235146">
        <w:rPr>
          <w:i/>
          <w:iCs/>
        </w:rPr>
        <w:t>International Studies Quarterly</w:t>
      </w:r>
      <w:r>
        <w:t xml:space="preserve"> 52 (2): 215–33.</w:t>
      </w:r>
    </w:p>
    <w:p w14:paraId="4024E87F" w14:textId="77777777" w:rsidR="002A2C62" w:rsidRDefault="002A2C62" w:rsidP="002A2C62">
      <w:pPr>
        <w:pStyle w:val="ListParagraph"/>
        <w:numPr>
          <w:ilvl w:val="1"/>
          <w:numId w:val="4"/>
        </w:numPr>
      </w:pPr>
      <w:r w:rsidRPr="005F3225">
        <w:t xml:space="preserve">Walter, Barbara F. 1997. “The Critical Barrier to Civil War Settlement.” </w:t>
      </w:r>
      <w:r w:rsidRPr="005F3225">
        <w:rPr>
          <w:i/>
          <w:iCs/>
        </w:rPr>
        <w:t>International Organization</w:t>
      </w:r>
      <w:r w:rsidRPr="005F3225">
        <w:t xml:space="preserve"> 51 (3): 335–64. </w:t>
      </w:r>
    </w:p>
    <w:p w14:paraId="62F8172B" w14:textId="77777777" w:rsidR="002A2C62" w:rsidRPr="00235146" w:rsidRDefault="002A2C62" w:rsidP="002A2C62">
      <w:pPr>
        <w:rPr>
          <w:bCs/>
        </w:rPr>
      </w:pPr>
    </w:p>
    <w:p w14:paraId="629DADF3" w14:textId="77777777" w:rsidR="002A2C62" w:rsidRDefault="002A2C62" w:rsidP="002A2C62">
      <w:pPr>
        <w:pStyle w:val="ListParagraph"/>
        <w:numPr>
          <w:ilvl w:val="0"/>
          <w:numId w:val="4"/>
        </w:numPr>
        <w:rPr>
          <w:bCs/>
        </w:rPr>
      </w:pPr>
      <w:r w:rsidRPr="00656DC0">
        <w:rPr>
          <w:bCs/>
        </w:rPr>
        <w:t>Making Peace</w:t>
      </w:r>
    </w:p>
    <w:p w14:paraId="5627419B" w14:textId="77777777" w:rsidR="002A2C62" w:rsidRDefault="002A2C62" w:rsidP="002A2C62">
      <w:pPr>
        <w:pStyle w:val="ListParagraph"/>
        <w:rPr>
          <w:bCs/>
        </w:rPr>
      </w:pPr>
    </w:p>
    <w:p w14:paraId="3B0CBA97" w14:textId="77777777" w:rsidR="002A2C62" w:rsidRPr="005F3225" w:rsidRDefault="002A2C62" w:rsidP="002A2C62">
      <w:pPr>
        <w:pStyle w:val="ListParagraph"/>
        <w:numPr>
          <w:ilvl w:val="1"/>
          <w:numId w:val="4"/>
        </w:numPr>
      </w:pPr>
      <w:r w:rsidRPr="005F3225">
        <w:t xml:space="preserve">Prorok, Alyssa K. 2016. “Leader Incentives and Civil War Outcomes.” </w:t>
      </w:r>
      <w:r w:rsidRPr="005F3225">
        <w:rPr>
          <w:i/>
          <w:iCs/>
        </w:rPr>
        <w:t>American Journal of Political Science</w:t>
      </w:r>
      <w:r w:rsidRPr="005F3225">
        <w:t xml:space="preserve"> 60 (1): 70–84. </w:t>
      </w:r>
    </w:p>
    <w:p w14:paraId="39CED02F" w14:textId="77777777" w:rsidR="00333743" w:rsidRDefault="00333743" w:rsidP="00333743">
      <w:pPr>
        <w:pStyle w:val="ListParagraph"/>
        <w:numPr>
          <w:ilvl w:val="1"/>
          <w:numId w:val="4"/>
        </w:numPr>
      </w:pPr>
      <w:r>
        <w:t xml:space="preserve">Tellez, Juan Fernando. 2020. “Peace without Impunity: Worldview in the Settlement of Civil Wars.” </w:t>
      </w:r>
      <w:r w:rsidRPr="00333743">
        <w:rPr>
          <w:i/>
          <w:iCs/>
        </w:rPr>
        <w:t>The Journal of Politics</w:t>
      </w:r>
      <w:r>
        <w:t xml:space="preserve"> 83(4): 1322–36.</w:t>
      </w:r>
    </w:p>
    <w:p w14:paraId="4196CFEF" w14:textId="77777777" w:rsidR="002A2C62" w:rsidRDefault="002A2C62" w:rsidP="002A2C62">
      <w:pPr>
        <w:pStyle w:val="ListParagraph"/>
        <w:numPr>
          <w:ilvl w:val="1"/>
          <w:numId w:val="4"/>
        </w:numPr>
      </w:pPr>
      <w:r>
        <w:t xml:space="preserve">Leventoğlu, Bahar, and Ahmer Tarar. 2008. “Does Private Information Lead to Delay or War in Crisis Bargaining?” </w:t>
      </w:r>
      <w:r w:rsidRPr="0000220C">
        <w:rPr>
          <w:i/>
          <w:iCs/>
        </w:rPr>
        <w:t>International Studies Quarterly</w:t>
      </w:r>
      <w:r>
        <w:t xml:space="preserve"> 52 (3): 533–53.</w:t>
      </w:r>
    </w:p>
    <w:p w14:paraId="51B3DAF7" w14:textId="77777777" w:rsidR="002A2C62" w:rsidRPr="00856223" w:rsidRDefault="002A2C62" w:rsidP="002A2C62">
      <w:pPr>
        <w:pStyle w:val="ListParagraph"/>
        <w:numPr>
          <w:ilvl w:val="1"/>
          <w:numId w:val="4"/>
        </w:numPr>
        <w:rPr>
          <w:bCs/>
        </w:rPr>
      </w:pPr>
      <w:r>
        <w:lastRenderedPageBreak/>
        <w:t xml:space="preserve">Cunningham, David E. 2006. “Veto Players and Civil War Duration.” </w:t>
      </w:r>
      <w:r w:rsidRPr="0000220C">
        <w:rPr>
          <w:i/>
          <w:iCs/>
        </w:rPr>
        <w:t>American Journal of Political Science</w:t>
      </w:r>
      <w:r>
        <w:t xml:space="preserve"> 50 (4): 875–92.</w:t>
      </w:r>
    </w:p>
    <w:p w14:paraId="7BE41915" w14:textId="6C60A2FA" w:rsidR="002A2C62" w:rsidRDefault="002A2C62" w:rsidP="002A2C62">
      <w:pPr>
        <w:pStyle w:val="ListParagraph"/>
        <w:numPr>
          <w:ilvl w:val="1"/>
          <w:numId w:val="4"/>
        </w:numPr>
      </w:pPr>
      <w:r>
        <w:t xml:space="preserve">Kydd, Andrew, and Barbara F. Walter. 2002. “Sabotaging the Peace: The Politics of Extremist Violence.” </w:t>
      </w:r>
      <w:r w:rsidRPr="00856223">
        <w:rPr>
          <w:i/>
          <w:iCs/>
        </w:rPr>
        <w:t>International Organization</w:t>
      </w:r>
      <w:r>
        <w:t xml:space="preserve"> 56 (2): 263–96. </w:t>
      </w:r>
    </w:p>
    <w:p w14:paraId="52593094" w14:textId="14AB6D1C" w:rsidR="00333743" w:rsidRPr="00856223" w:rsidRDefault="00333743" w:rsidP="00333743">
      <w:pPr>
        <w:pStyle w:val="ListParagraph"/>
        <w:numPr>
          <w:ilvl w:val="1"/>
          <w:numId w:val="4"/>
        </w:numPr>
      </w:pPr>
      <w:r>
        <w:t xml:space="preserve">Matanock, Aila M., and Adam Lichtenheld. 2022. “How Does International Intervention Work to Secure Peace Settlements After Civil Conflicts?” </w:t>
      </w:r>
      <w:r w:rsidRPr="00333743">
        <w:rPr>
          <w:i/>
          <w:iCs/>
        </w:rPr>
        <w:t>British Journal of Political Science</w:t>
      </w:r>
      <w:r>
        <w:t xml:space="preserve"> 52(4): 1810–30.</w:t>
      </w:r>
    </w:p>
    <w:p w14:paraId="78A33549" w14:textId="77777777" w:rsidR="002A2C62" w:rsidRPr="00856223" w:rsidRDefault="002A2C62" w:rsidP="002A2C62">
      <w:pPr>
        <w:rPr>
          <w:bCs/>
        </w:rPr>
      </w:pPr>
    </w:p>
    <w:p w14:paraId="284018B3" w14:textId="77777777" w:rsidR="002A2C62" w:rsidRDefault="002A2C62" w:rsidP="002A2C62">
      <w:pPr>
        <w:pStyle w:val="ListParagraph"/>
        <w:numPr>
          <w:ilvl w:val="0"/>
          <w:numId w:val="4"/>
        </w:numPr>
        <w:rPr>
          <w:bCs/>
        </w:rPr>
      </w:pPr>
      <w:r w:rsidRPr="00656DC0">
        <w:rPr>
          <w:bCs/>
        </w:rPr>
        <w:t>Keeping Peace</w:t>
      </w:r>
    </w:p>
    <w:p w14:paraId="3E004326" w14:textId="77777777" w:rsidR="002A2C62" w:rsidRDefault="002A2C62" w:rsidP="002A2C62">
      <w:pPr>
        <w:pStyle w:val="ListParagraph"/>
        <w:rPr>
          <w:bCs/>
        </w:rPr>
      </w:pPr>
    </w:p>
    <w:p w14:paraId="2B1CE485" w14:textId="77777777" w:rsidR="002A2C62" w:rsidRPr="005F3225" w:rsidRDefault="002A2C62" w:rsidP="002A2C62">
      <w:pPr>
        <w:pStyle w:val="ListParagraph"/>
        <w:numPr>
          <w:ilvl w:val="1"/>
          <w:numId w:val="4"/>
        </w:numPr>
      </w:pPr>
      <w:r w:rsidRPr="005F3225">
        <w:t xml:space="preserve">Hartzell, Caroline, and Matthew Hoddie. 2003. “Institutionalizing Peace: Power Sharing and Post-Civil War Conflict Management.” </w:t>
      </w:r>
      <w:r w:rsidRPr="005F3225">
        <w:rPr>
          <w:i/>
          <w:iCs/>
        </w:rPr>
        <w:t>American Journal of Political Science</w:t>
      </w:r>
      <w:r w:rsidRPr="005F3225">
        <w:t xml:space="preserve"> 47 (2): 318–32. </w:t>
      </w:r>
    </w:p>
    <w:p w14:paraId="0E778262" w14:textId="77777777" w:rsidR="002A2C62" w:rsidRPr="005F3225" w:rsidRDefault="002A2C62" w:rsidP="002A2C62">
      <w:pPr>
        <w:pStyle w:val="ListParagraph"/>
        <w:numPr>
          <w:ilvl w:val="1"/>
          <w:numId w:val="4"/>
        </w:numPr>
      </w:pPr>
      <w:r w:rsidRPr="005F3225">
        <w:t xml:space="preserve">Matanock, Aila M. 2017. “Bullets for Ballots: Electoral Participation Provisions and Enduring Peace after Civil Conflict.” </w:t>
      </w:r>
      <w:r w:rsidRPr="005F3225">
        <w:rPr>
          <w:i/>
          <w:iCs/>
        </w:rPr>
        <w:t>International Security</w:t>
      </w:r>
      <w:r w:rsidRPr="005F3225">
        <w:t xml:space="preserve"> 41 (4): 93–132.</w:t>
      </w:r>
    </w:p>
    <w:p w14:paraId="30C56A97" w14:textId="77777777" w:rsidR="001C4128" w:rsidRPr="001C4128" w:rsidRDefault="001C4128" w:rsidP="001C4128">
      <w:pPr>
        <w:pStyle w:val="ListParagraph"/>
        <w:numPr>
          <w:ilvl w:val="1"/>
          <w:numId w:val="4"/>
        </w:numPr>
      </w:pPr>
      <w:r w:rsidRPr="001C4128">
        <w:t xml:space="preserve">Loyle, Cyanne, and Benjamin Appel. 2017. “Conflict Recurrence and Postconflict Justice: Addressing Motivations and Opportunities for Sustainable Peace.” </w:t>
      </w:r>
      <w:r w:rsidRPr="001C4128">
        <w:rPr>
          <w:i/>
          <w:iCs/>
        </w:rPr>
        <w:t>International Studies Quarterly</w:t>
      </w:r>
      <w:r w:rsidRPr="001C4128">
        <w:t xml:space="preserve"> 61 (3): 590–703.</w:t>
      </w:r>
    </w:p>
    <w:p w14:paraId="1B4165E5" w14:textId="33D09EF6" w:rsidR="002A2C62" w:rsidRDefault="002A2C62" w:rsidP="002A2C62">
      <w:pPr>
        <w:pStyle w:val="ListParagraph"/>
        <w:numPr>
          <w:ilvl w:val="1"/>
          <w:numId w:val="4"/>
        </w:numPr>
      </w:pPr>
      <w:r>
        <w:t xml:space="preserve">Daly, Sarah Zukerman. 2016. </w:t>
      </w:r>
      <w:r w:rsidRPr="0000220C">
        <w:rPr>
          <w:i/>
          <w:iCs/>
        </w:rPr>
        <w:t>Organized Violence after Civil War: The Geography of Recruitment in Latin America</w:t>
      </w:r>
      <w:r>
        <w:t xml:space="preserve">. Cambridge Studies in Comparative Politics. Cambridge University Press. </w:t>
      </w:r>
      <w:r>
        <w:sym w:font="Wingdings" w:char="F0E0"/>
      </w:r>
      <w:r>
        <w:t xml:space="preserve"> Chapters 2, 4, 5</w:t>
      </w:r>
    </w:p>
    <w:p w14:paraId="6965DCC4" w14:textId="656F042E" w:rsidR="001C4128" w:rsidRDefault="001C4128" w:rsidP="001C4128">
      <w:pPr>
        <w:pStyle w:val="ListParagraph"/>
        <w:numPr>
          <w:ilvl w:val="1"/>
          <w:numId w:val="4"/>
        </w:numPr>
      </w:pPr>
      <w:r>
        <w:t xml:space="preserve">Blair, Robert A., Manuel Moscoso-Rojas, Andrés Vargas Castillo, and Michael Weintraub. 2022. “Preventing Rebel Resurgence after Civil War: A Field Experiment in Security and Justice Provision in Rural Colombia.” </w:t>
      </w:r>
      <w:r w:rsidRPr="001C4128">
        <w:rPr>
          <w:i/>
          <w:iCs/>
        </w:rPr>
        <w:t>American Political Science Review</w:t>
      </w:r>
      <w:r>
        <w:t xml:space="preserve">, </w:t>
      </w:r>
      <w:r w:rsidR="00333743">
        <w:t xml:space="preserve">116(4): 1258-1277. </w:t>
      </w:r>
    </w:p>
    <w:p w14:paraId="6F00371E" w14:textId="77777777" w:rsidR="0053580D" w:rsidRDefault="0053580D" w:rsidP="001C4128">
      <w:pPr>
        <w:pStyle w:val="ListParagraph"/>
        <w:numPr>
          <w:ilvl w:val="1"/>
          <w:numId w:val="4"/>
        </w:numPr>
      </w:pPr>
    </w:p>
    <w:p w14:paraId="36EEC2A1" w14:textId="77777777" w:rsidR="002A2C62" w:rsidRPr="00856223" w:rsidRDefault="002A2C62" w:rsidP="002A2C62">
      <w:pPr>
        <w:ind w:left="1080"/>
        <w:rPr>
          <w:bCs/>
        </w:rPr>
      </w:pPr>
    </w:p>
    <w:p w14:paraId="00AD7C6C" w14:textId="77777777" w:rsidR="002A2C62" w:rsidRDefault="002A2C62" w:rsidP="002A2C62">
      <w:pPr>
        <w:pStyle w:val="ListParagraph"/>
        <w:numPr>
          <w:ilvl w:val="0"/>
          <w:numId w:val="4"/>
        </w:numPr>
        <w:rPr>
          <w:bCs/>
        </w:rPr>
      </w:pPr>
      <w:r w:rsidRPr="00656DC0">
        <w:rPr>
          <w:bCs/>
        </w:rPr>
        <w:t>Legacies of Conflict</w:t>
      </w:r>
    </w:p>
    <w:p w14:paraId="1A8AFE39" w14:textId="77777777" w:rsidR="002A2C62" w:rsidRDefault="002A2C62" w:rsidP="002A2C62">
      <w:pPr>
        <w:pStyle w:val="ListParagraph"/>
        <w:rPr>
          <w:bCs/>
        </w:rPr>
      </w:pPr>
    </w:p>
    <w:p w14:paraId="5E5657F7" w14:textId="77777777" w:rsidR="00C37D98" w:rsidRPr="00B66E1E" w:rsidRDefault="00C37D98" w:rsidP="00C37D98">
      <w:pPr>
        <w:pStyle w:val="ListParagraph"/>
        <w:numPr>
          <w:ilvl w:val="1"/>
          <w:numId w:val="4"/>
        </w:numPr>
        <w:rPr>
          <w:bCs/>
        </w:rPr>
      </w:pPr>
      <w:r w:rsidRPr="00B66E1E">
        <w:t xml:space="preserve">Blattman, Christopher. 2009. “From Violence to Voting: War and Political Participation in Uganda.” </w:t>
      </w:r>
      <w:r w:rsidRPr="00B66E1E">
        <w:rPr>
          <w:i/>
          <w:iCs/>
        </w:rPr>
        <w:t>American Political Science Review</w:t>
      </w:r>
      <w:r w:rsidRPr="00B66E1E">
        <w:t xml:space="preserve"> 103 (02): 231–47. </w:t>
      </w:r>
    </w:p>
    <w:p w14:paraId="48076263" w14:textId="4155CEF2" w:rsidR="00C37D98" w:rsidRDefault="00C37D98" w:rsidP="00C37D98">
      <w:pPr>
        <w:pStyle w:val="ListParagraph"/>
        <w:numPr>
          <w:ilvl w:val="1"/>
          <w:numId w:val="4"/>
        </w:numPr>
      </w:pPr>
      <w:r>
        <w:t xml:space="preserve">Grasse, Donald. 2023. “State Terror and Long-Run Development: The Persistence of the Khmer Rouge.” </w:t>
      </w:r>
      <w:r w:rsidRPr="000F1C02">
        <w:rPr>
          <w:i/>
          <w:iCs/>
        </w:rPr>
        <w:t>American Political Science Review</w:t>
      </w:r>
      <w:r>
        <w:t xml:space="preserve"> Forthcoming: 1–18.</w:t>
      </w:r>
    </w:p>
    <w:p w14:paraId="61479305" w14:textId="2984002C" w:rsidR="002A2C62" w:rsidRDefault="002A2C62" w:rsidP="002A2C62">
      <w:pPr>
        <w:pStyle w:val="ListParagraph"/>
        <w:numPr>
          <w:ilvl w:val="1"/>
          <w:numId w:val="4"/>
        </w:numPr>
      </w:pPr>
      <w:r>
        <w:t xml:space="preserve">Charnysh, Volha and Evgeny Finkel. 2017. “The Death Camp Eldorado: Political and Economic Effects of Mass Violence.” </w:t>
      </w:r>
      <w:r w:rsidRPr="00445D5F">
        <w:rPr>
          <w:i/>
          <w:iCs/>
        </w:rPr>
        <w:t>The American Political Science Review</w:t>
      </w:r>
      <w:r>
        <w:t xml:space="preserve"> 111 (4): 801–18. </w:t>
      </w:r>
    </w:p>
    <w:p w14:paraId="59D22B3D" w14:textId="1CDD51A6" w:rsidR="002A2C62" w:rsidRPr="00445D5F" w:rsidRDefault="002A2C62" w:rsidP="002A2C62">
      <w:pPr>
        <w:pStyle w:val="ListParagraph"/>
        <w:numPr>
          <w:ilvl w:val="1"/>
          <w:numId w:val="4"/>
        </w:numPr>
        <w:rPr>
          <w:bCs/>
        </w:rPr>
      </w:pPr>
      <w:r w:rsidRPr="00445D5F">
        <w:rPr>
          <w:lang w:val="es-ES"/>
        </w:rPr>
        <w:t xml:space="preserve">Osorio, Javier, Livia Isabella Schubiger, and Michael Weintraub. </w:t>
      </w:r>
      <w:r>
        <w:t xml:space="preserve">2021. “Legacies of Resistance: Mobilization Against Organized Crime in Mexico.” </w:t>
      </w:r>
      <w:r w:rsidRPr="00445D5F">
        <w:rPr>
          <w:i/>
          <w:iCs/>
        </w:rPr>
        <w:t>Comparative Political Studies</w:t>
      </w:r>
      <w:r>
        <w:t xml:space="preserve">, </w:t>
      </w:r>
      <w:r w:rsidR="001C4128">
        <w:t>54(9):</w:t>
      </w:r>
      <w:r>
        <w:t xml:space="preserve"> 1–32. </w:t>
      </w:r>
    </w:p>
    <w:p w14:paraId="7ACB974E" w14:textId="71920F04" w:rsidR="002A2C62" w:rsidRPr="001C4128" w:rsidRDefault="002A2C62" w:rsidP="002A2C62">
      <w:pPr>
        <w:pStyle w:val="ListParagraph"/>
        <w:numPr>
          <w:ilvl w:val="1"/>
          <w:numId w:val="4"/>
        </w:numPr>
        <w:rPr>
          <w:bCs/>
        </w:rPr>
      </w:pPr>
      <w:r>
        <w:t xml:space="preserve">Lupu, Noam, and Leonid Peisakhin. 2017. “The Legacy of Political Violence across Generations.” </w:t>
      </w:r>
      <w:r w:rsidRPr="00856223">
        <w:rPr>
          <w:i/>
          <w:iCs/>
        </w:rPr>
        <w:t>American Journal of Political Science</w:t>
      </w:r>
      <w:r>
        <w:t xml:space="preserve"> 61 (4): 836–51. </w:t>
      </w:r>
    </w:p>
    <w:p w14:paraId="0B56F1C2" w14:textId="1E22E085" w:rsidR="001C4128" w:rsidRDefault="001C4128" w:rsidP="00CE7E17">
      <w:pPr>
        <w:pStyle w:val="ListParagraph"/>
        <w:numPr>
          <w:ilvl w:val="1"/>
          <w:numId w:val="4"/>
        </w:numPr>
      </w:pPr>
      <w:r w:rsidRPr="001C4128">
        <w:t xml:space="preserve">Hartman, Alexandra C., and Benjamin S. Morse. 2020. “Violence, Empathy and Altruism: Evidence from the Ivorian Refugee Crisis in Liberia.” </w:t>
      </w:r>
      <w:r w:rsidRPr="001C4128">
        <w:rPr>
          <w:i/>
          <w:iCs/>
        </w:rPr>
        <w:t>British Journal of Political Science</w:t>
      </w:r>
      <w:r w:rsidRPr="001C4128">
        <w:t xml:space="preserve"> 50 (2): 731–55. </w:t>
      </w:r>
    </w:p>
    <w:p w14:paraId="6F789307" w14:textId="77777777" w:rsidR="002A2C62" w:rsidRPr="00856223" w:rsidRDefault="002A2C62" w:rsidP="002A2C62">
      <w:pPr>
        <w:ind w:left="1080"/>
        <w:rPr>
          <w:bCs/>
        </w:rPr>
      </w:pPr>
    </w:p>
    <w:p w14:paraId="7FAD71F2" w14:textId="2AF845D0" w:rsidR="002A2C62" w:rsidRDefault="00C37D98" w:rsidP="002A2C62">
      <w:pPr>
        <w:pStyle w:val="ListParagraph"/>
        <w:numPr>
          <w:ilvl w:val="0"/>
          <w:numId w:val="4"/>
        </w:numPr>
        <w:rPr>
          <w:bCs/>
        </w:rPr>
      </w:pPr>
      <w:r>
        <w:rPr>
          <w:bCs/>
        </w:rPr>
        <w:t>Crime</w:t>
      </w:r>
      <w:r w:rsidR="002A2C62" w:rsidRPr="00656DC0">
        <w:rPr>
          <w:bCs/>
        </w:rPr>
        <w:t xml:space="preserve">? </w:t>
      </w:r>
    </w:p>
    <w:p w14:paraId="3BF93B3D" w14:textId="77777777" w:rsidR="002A2C62" w:rsidRDefault="002A2C62" w:rsidP="002A2C62">
      <w:pPr>
        <w:pStyle w:val="ListParagraph"/>
        <w:rPr>
          <w:bCs/>
        </w:rPr>
      </w:pPr>
    </w:p>
    <w:p w14:paraId="63626368" w14:textId="77777777" w:rsidR="002A2C62" w:rsidRPr="00E1681B" w:rsidRDefault="002A2C62" w:rsidP="002A2C62">
      <w:pPr>
        <w:pStyle w:val="ListParagraph"/>
        <w:numPr>
          <w:ilvl w:val="1"/>
          <w:numId w:val="4"/>
        </w:numPr>
      </w:pPr>
      <w:r w:rsidRPr="00E1681B">
        <w:t xml:space="preserve">Barnes, Nicholas. 2017. “Criminal Politics: An Integrated Approach to the Study of Organized Crime, Politics, and Violence.” </w:t>
      </w:r>
      <w:r w:rsidRPr="00E1681B">
        <w:rPr>
          <w:i/>
          <w:iCs/>
        </w:rPr>
        <w:t>Perspectives on Politics; Cambridge</w:t>
      </w:r>
      <w:r w:rsidRPr="00E1681B">
        <w:t xml:space="preserve"> 15 (4): 967–87. </w:t>
      </w:r>
    </w:p>
    <w:p w14:paraId="508C7B3A" w14:textId="77777777" w:rsidR="002A2C62" w:rsidRPr="005F3225" w:rsidRDefault="002A2C62" w:rsidP="002A2C62">
      <w:pPr>
        <w:pStyle w:val="ListParagraph"/>
        <w:numPr>
          <w:ilvl w:val="1"/>
          <w:numId w:val="4"/>
        </w:numPr>
      </w:pPr>
      <w:r w:rsidRPr="005F3225">
        <w:rPr>
          <w:lang w:val="es-ES"/>
        </w:rPr>
        <w:t xml:space="preserve">Trejo, Guillermo, and Sandra Ley. 2018. </w:t>
      </w:r>
      <w:r w:rsidRPr="005F3225">
        <w:t xml:space="preserve">“Why Did Drug Cartels Go to War in Mexico? Subnational Party Alternation, the Breakdown of Criminal Protection, and the Onset of Large-Scale Violence.” </w:t>
      </w:r>
      <w:r w:rsidRPr="005F3225">
        <w:rPr>
          <w:i/>
          <w:iCs/>
        </w:rPr>
        <w:t>Comparative Political Studies</w:t>
      </w:r>
      <w:r w:rsidRPr="005F3225">
        <w:t xml:space="preserve"> 51 (7): 900–937. </w:t>
      </w:r>
    </w:p>
    <w:p w14:paraId="5D1942A5" w14:textId="77777777" w:rsidR="002A2C62" w:rsidRPr="005F3225" w:rsidRDefault="002A2C62" w:rsidP="002A2C62">
      <w:pPr>
        <w:pStyle w:val="ListParagraph"/>
        <w:numPr>
          <w:ilvl w:val="1"/>
          <w:numId w:val="4"/>
        </w:numPr>
      </w:pPr>
      <w:r w:rsidRPr="005F3225">
        <w:rPr>
          <w:lang w:val="es-ES"/>
        </w:rPr>
        <w:t xml:space="preserve">Magaloni, Beatriz, Edgar Franco-Vivanco, and Vanessa Melo. 2020. </w:t>
      </w:r>
      <w:r w:rsidRPr="005F3225">
        <w:t xml:space="preserve">“Killing in the Slums: Social Order, Criminal Governance, and Police Violence in Rio de Janeiro.” </w:t>
      </w:r>
      <w:r w:rsidRPr="005F3225">
        <w:rPr>
          <w:i/>
          <w:iCs/>
        </w:rPr>
        <w:t>American Political Science Review</w:t>
      </w:r>
      <w:r w:rsidRPr="005F3225">
        <w:t xml:space="preserve"> 114 (2): 552–72. </w:t>
      </w:r>
    </w:p>
    <w:p w14:paraId="2D1E9C78" w14:textId="7110D9E9" w:rsidR="002A2C62" w:rsidRDefault="002A2C62" w:rsidP="002A2C62">
      <w:pPr>
        <w:pStyle w:val="ListParagraph"/>
        <w:numPr>
          <w:ilvl w:val="1"/>
          <w:numId w:val="4"/>
        </w:numPr>
      </w:pPr>
      <w:r>
        <w:t xml:space="preserve">Lessing, Benjamin. 2017. </w:t>
      </w:r>
      <w:r w:rsidRPr="00E1681B">
        <w:rPr>
          <w:i/>
          <w:iCs/>
        </w:rPr>
        <w:t>Making Peace in Drug Wars: Crackdowns and Cartels in Latin America</w:t>
      </w:r>
      <w:r>
        <w:t xml:space="preserve">. Cambridge University Press. </w:t>
      </w:r>
      <w:r>
        <w:sym w:font="Wingdings" w:char="F0E0"/>
      </w:r>
      <w:r>
        <w:t xml:space="preserve"> Chapters 1-4</w:t>
      </w:r>
    </w:p>
    <w:p w14:paraId="4335FD4E" w14:textId="14E5B784" w:rsidR="00C37D98" w:rsidRDefault="00C37D98" w:rsidP="00C37D98">
      <w:pPr>
        <w:pStyle w:val="ListParagraph"/>
        <w:numPr>
          <w:ilvl w:val="1"/>
          <w:numId w:val="4"/>
        </w:numPr>
      </w:pPr>
      <w:r w:rsidRPr="00B66E1E">
        <w:t>Dube, Arindrajit, Oeindrila Dube, and Omar Garc</w:t>
      </w:r>
      <w:r w:rsidRPr="00726363">
        <w:t xml:space="preserve">ía-Ponce. </w:t>
      </w:r>
      <w:r w:rsidRPr="00B66E1E">
        <w:t xml:space="preserve">2013. “Cross-Border Spillover: U.S. Gun Laws and Violence in Mexico.” </w:t>
      </w:r>
      <w:r w:rsidRPr="00B66E1E">
        <w:rPr>
          <w:i/>
          <w:iCs/>
        </w:rPr>
        <w:t>The American Political Science Review</w:t>
      </w:r>
      <w:r w:rsidRPr="00B66E1E">
        <w:t xml:space="preserve"> 107 (3): 397–417. </w:t>
      </w:r>
    </w:p>
    <w:p w14:paraId="554141FD" w14:textId="77777777" w:rsidR="00C37D98" w:rsidRPr="00B66E1E" w:rsidRDefault="00C37D98" w:rsidP="00C37D98">
      <w:pPr>
        <w:pStyle w:val="ListParagraph"/>
        <w:numPr>
          <w:ilvl w:val="1"/>
          <w:numId w:val="4"/>
        </w:numPr>
      </w:pPr>
      <w:r>
        <w:t xml:space="preserve">Dancygier, Rafaela, Naoki Egami, Amaney Jamal, and Ramona Rischke. 2022. “Hate Crimes and Gender Imbalances: Fears over Mate Competition and Violence against Refugees.” </w:t>
      </w:r>
      <w:r w:rsidRPr="00420493">
        <w:rPr>
          <w:i/>
          <w:iCs/>
        </w:rPr>
        <w:t>American Journal of Political Science</w:t>
      </w:r>
      <w:r>
        <w:t xml:space="preserve"> 66(2): 501–15.</w:t>
      </w:r>
    </w:p>
    <w:p w14:paraId="678DBA6E" w14:textId="77777777" w:rsidR="00C37D98" w:rsidRDefault="00C37D98" w:rsidP="00C37D98">
      <w:pPr>
        <w:ind w:left="1080"/>
      </w:pPr>
    </w:p>
    <w:p w14:paraId="6CF7AEA5" w14:textId="58CFA83F" w:rsidR="004D0B91" w:rsidRPr="002A2C62" w:rsidRDefault="004D0B91">
      <w:pPr>
        <w:rPr>
          <w:bCs/>
        </w:rPr>
      </w:pPr>
    </w:p>
    <w:sectPr w:rsidR="004D0B91" w:rsidRPr="002A2C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EC73A3"/>
    <w:multiLevelType w:val="hybridMultilevel"/>
    <w:tmpl w:val="9C200608"/>
    <w:lvl w:ilvl="0" w:tplc="BC689BF0">
      <w:start w:val="1"/>
      <w:numFmt w:val="decimal"/>
      <w:lvlText w:val="%1)"/>
      <w:lvlJc w:val="left"/>
      <w:pPr>
        <w:ind w:left="720" w:hanging="360"/>
      </w:pPr>
      <w:rPr>
        <w:rFonts w:hint="default"/>
        <w:b w:val="0"/>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23C2906"/>
    <w:multiLevelType w:val="hybridMultilevel"/>
    <w:tmpl w:val="A79A5E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64224BC"/>
    <w:multiLevelType w:val="hybridMultilevel"/>
    <w:tmpl w:val="049077DA"/>
    <w:lvl w:ilvl="0" w:tplc="04090011">
      <w:start w:val="1"/>
      <w:numFmt w:val="decimal"/>
      <w:lvlText w:val="%1)"/>
      <w:lvlJc w:val="left"/>
      <w:pPr>
        <w:ind w:left="720" w:hanging="360"/>
      </w:pPr>
      <w:rPr>
        <w:rFonts w:hint="default"/>
      </w:rPr>
    </w:lvl>
    <w:lvl w:ilvl="1" w:tplc="58343BF0">
      <w:start w:val="1"/>
      <w:numFmt w:val="lowerLetter"/>
      <w:lvlText w:val="%2."/>
      <w:lvlJc w:val="left"/>
      <w:pPr>
        <w:ind w:left="1440" w:hanging="360"/>
      </w:pPr>
      <w:rPr>
        <w:b w:val="0"/>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61D266F"/>
    <w:multiLevelType w:val="hybridMultilevel"/>
    <w:tmpl w:val="5B8C5B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66296FFA"/>
    <w:multiLevelType w:val="hybridMultilevel"/>
    <w:tmpl w:val="67D24EA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A2145BD"/>
    <w:multiLevelType w:val="hybridMultilevel"/>
    <w:tmpl w:val="A38A522E"/>
    <w:lvl w:ilvl="0" w:tplc="04090011">
      <w:start w:val="1"/>
      <w:numFmt w:val="decimal"/>
      <w:lvlText w:val="%1)"/>
      <w:lvlJc w:val="left"/>
      <w:pPr>
        <w:ind w:left="720" w:hanging="360"/>
      </w:pPr>
      <w:rPr>
        <w:rFonts w:hint="default"/>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AD64074"/>
    <w:multiLevelType w:val="hybridMultilevel"/>
    <w:tmpl w:val="6CAA4084"/>
    <w:lvl w:ilvl="0" w:tplc="04090011">
      <w:start w:val="1"/>
      <w:numFmt w:val="decimal"/>
      <w:lvlText w:val="%1)"/>
      <w:lvlJc w:val="left"/>
      <w:pPr>
        <w:ind w:left="720" w:hanging="360"/>
      </w:pPr>
      <w:rPr>
        <w:rFonts w:hint="default"/>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36407497">
    <w:abstractNumId w:val="3"/>
  </w:num>
  <w:num w:numId="2" w16cid:durableId="1511288995">
    <w:abstractNumId w:val="5"/>
  </w:num>
  <w:num w:numId="3" w16cid:durableId="1353919579">
    <w:abstractNumId w:val="4"/>
  </w:num>
  <w:num w:numId="4" w16cid:durableId="2099325775">
    <w:abstractNumId w:val="2"/>
  </w:num>
  <w:num w:numId="5" w16cid:durableId="162474330">
    <w:abstractNumId w:val="1"/>
  </w:num>
  <w:num w:numId="6" w16cid:durableId="2014529910">
    <w:abstractNumId w:val="6"/>
  </w:num>
  <w:num w:numId="7" w16cid:durableId="13858352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81B"/>
    <w:rsid w:val="001C4128"/>
    <w:rsid w:val="00235669"/>
    <w:rsid w:val="002A2C62"/>
    <w:rsid w:val="002D521E"/>
    <w:rsid w:val="00331276"/>
    <w:rsid w:val="00333743"/>
    <w:rsid w:val="004D0B91"/>
    <w:rsid w:val="0053580D"/>
    <w:rsid w:val="00726BF2"/>
    <w:rsid w:val="007E79EC"/>
    <w:rsid w:val="008225CB"/>
    <w:rsid w:val="00830E71"/>
    <w:rsid w:val="00A506D4"/>
    <w:rsid w:val="00A57149"/>
    <w:rsid w:val="00AE0E8A"/>
    <w:rsid w:val="00AE181B"/>
    <w:rsid w:val="00BE1C9C"/>
    <w:rsid w:val="00C004BF"/>
    <w:rsid w:val="00C07C8A"/>
    <w:rsid w:val="00C27C7B"/>
    <w:rsid w:val="00C37D98"/>
    <w:rsid w:val="00C70450"/>
    <w:rsid w:val="00C84555"/>
    <w:rsid w:val="00CE7E17"/>
    <w:rsid w:val="00E0707A"/>
    <w:rsid w:val="00EC31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A904CF3"/>
  <w15:chartTrackingRefBased/>
  <w15:docId w15:val="{44FE674F-E4F9-CD49-889F-BCBD471D0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374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2C62"/>
    <w:pPr>
      <w:ind w:left="720"/>
      <w:contextualSpacing/>
    </w:pPr>
  </w:style>
  <w:style w:type="table" w:styleId="TableGrid">
    <w:name w:val="Table Grid"/>
    <w:basedOn w:val="TableNormal"/>
    <w:uiPriority w:val="39"/>
    <w:rsid w:val="002A2C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A2C6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580780">
      <w:bodyDiv w:val="1"/>
      <w:marLeft w:val="0"/>
      <w:marRight w:val="0"/>
      <w:marTop w:val="0"/>
      <w:marBottom w:val="0"/>
      <w:divBdr>
        <w:top w:val="none" w:sz="0" w:space="0" w:color="auto"/>
        <w:left w:val="none" w:sz="0" w:space="0" w:color="auto"/>
        <w:bottom w:val="none" w:sz="0" w:space="0" w:color="auto"/>
        <w:right w:val="none" w:sz="0" w:space="0" w:color="auto"/>
      </w:divBdr>
      <w:divsChild>
        <w:div w:id="551694870">
          <w:marLeft w:val="480"/>
          <w:marRight w:val="0"/>
          <w:marTop w:val="0"/>
          <w:marBottom w:val="0"/>
          <w:divBdr>
            <w:top w:val="none" w:sz="0" w:space="0" w:color="auto"/>
            <w:left w:val="none" w:sz="0" w:space="0" w:color="auto"/>
            <w:bottom w:val="none" w:sz="0" w:space="0" w:color="auto"/>
            <w:right w:val="none" w:sz="0" w:space="0" w:color="auto"/>
          </w:divBdr>
          <w:divsChild>
            <w:div w:id="1088574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999668">
      <w:bodyDiv w:val="1"/>
      <w:marLeft w:val="0"/>
      <w:marRight w:val="0"/>
      <w:marTop w:val="0"/>
      <w:marBottom w:val="0"/>
      <w:divBdr>
        <w:top w:val="none" w:sz="0" w:space="0" w:color="auto"/>
        <w:left w:val="none" w:sz="0" w:space="0" w:color="auto"/>
        <w:bottom w:val="none" w:sz="0" w:space="0" w:color="auto"/>
        <w:right w:val="none" w:sz="0" w:space="0" w:color="auto"/>
      </w:divBdr>
      <w:divsChild>
        <w:div w:id="130173020">
          <w:marLeft w:val="480"/>
          <w:marRight w:val="0"/>
          <w:marTop w:val="0"/>
          <w:marBottom w:val="0"/>
          <w:divBdr>
            <w:top w:val="none" w:sz="0" w:space="0" w:color="auto"/>
            <w:left w:val="none" w:sz="0" w:space="0" w:color="auto"/>
            <w:bottom w:val="none" w:sz="0" w:space="0" w:color="auto"/>
            <w:right w:val="none" w:sz="0" w:space="0" w:color="auto"/>
          </w:divBdr>
          <w:divsChild>
            <w:div w:id="1142582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034359">
      <w:bodyDiv w:val="1"/>
      <w:marLeft w:val="0"/>
      <w:marRight w:val="0"/>
      <w:marTop w:val="0"/>
      <w:marBottom w:val="0"/>
      <w:divBdr>
        <w:top w:val="none" w:sz="0" w:space="0" w:color="auto"/>
        <w:left w:val="none" w:sz="0" w:space="0" w:color="auto"/>
        <w:bottom w:val="none" w:sz="0" w:space="0" w:color="auto"/>
        <w:right w:val="none" w:sz="0" w:space="0" w:color="auto"/>
      </w:divBdr>
      <w:divsChild>
        <w:div w:id="1492677751">
          <w:marLeft w:val="480"/>
          <w:marRight w:val="0"/>
          <w:marTop w:val="0"/>
          <w:marBottom w:val="0"/>
          <w:divBdr>
            <w:top w:val="none" w:sz="0" w:space="0" w:color="auto"/>
            <w:left w:val="none" w:sz="0" w:space="0" w:color="auto"/>
            <w:bottom w:val="none" w:sz="0" w:space="0" w:color="auto"/>
            <w:right w:val="none" w:sz="0" w:space="0" w:color="auto"/>
          </w:divBdr>
          <w:divsChild>
            <w:div w:id="60064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768233">
      <w:bodyDiv w:val="1"/>
      <w:marLeft w:val="0"/>
      <w:marRight w:val="0"/>
      <w:marTop w:val="0"/>
      <w:marBottom w:val="0"/>
      <w:divBdr>
        <w:top w:val="none" w:sz="0" w:space="0" w:color="auto"/>
        <w:left w:val="none" w:sz="0" w:space="0" w:color="auto"/>
        <w:bottom w:val="none" w:sz="0" w:space="0" w:color="auto"/>
        <w:right w:val="none" w:sz="0" w:space="0" w:color="auto"/>
      </w:divBdr>
      <w:divsChild>
        <w:div w:id="293949546">
          <w:marLeft w:val="480"/>
          <w:marRight w:val="0"/>
          <w:marTop w:val="0"/>
          <w:marBottom w:val="0"/>
          <w:divBdr>
            <w:top w:val="none" w:sz="0" w:space="0" w:color="auto"/>
            <w:left w:val="none" w:sz="0" w:space="0" w:color="auto"/>
            <w:bottom w:val="none" w:sz="0" w:space="0" w:color="auto"/>
            <w:right w:val="none" w:sz="0" w:space="0" w:color="auto"/>
          </w:divBdr>
          <w:divsChild>
            <w:div w:id="1643189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322266">
      <w:bodyDiv w:val="1"/>
      <w:marLeft w:val="0"/>
      <w:marRight w:val="0"/>
      <w:marTop w:val="0"/>
      <w:marBottom w:val="0"/>
      <w:divBdr>
        <w:top w:val="none" w:sz="0" w:space="0" w:color="auto"/>
        <w:left w:val="none" w:sz="0" w:space="0" w:color="auto"/>
        <w:bottom w:val="none" w:sz="0" w:space="0" w:color="auto"/>
        <w:right w:val="none" w:sz="0" w:space="0" w:color="auto"/>
      </w:divBdr>
      <w:divsChild>
        <w:div w:id="84302538">
          <w:marLeft w:val="480"/>
          <w:marRight w:val="0"/>
          <w:marTop w:val="0"/>
          <w:marBottom w:val="0"/>
          <w:divBdr>
            <w:top w:val="none" w:sz="0" w:space="0" w:color="auto"/>
            <w:left w:val="none" w:sz="0" w:space="0" w:color="auto"/>
            <w:bottom w:val="none" w:sz="0" w:space="0" w:color="auto"/>
            <w:right w:val="none" w:sz="0" w:space="0" w:color="auto"/>
          </w:divBdr>
          <w:divsChild>
            <w:div w:id="1060521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990338">
      <w:bodyDiv w:val="1"/>
      <w:marLeft w:val="0"/>
      <w:marRight w:val="0"/>
      <w:marTop w:val="0"/>
      <w:marBottom w:val="0"/>
      <w:divBdr>
        <w:top w:val="none" w:sz="0" w:space="0" w:color="auto"/>
        <w:left w:val="none" w:sz="0" w:space="0" w:color="auto"/>
        <w:bottom w:val="none" w:sz="0" w:space="0" w:color="auto"/>
        <w:right w:val="none" w:sz="0" w:space="0" w:color="auto"/>
      </w:divBdr>
      <w:divsChild>
        <w:div w:id="2136673475">
          <w:marLeft w:val="480"/>
          <w:marRight w:val="0"/>
          <w:marTop w:val="0"/>
          <w:marBottom w:val="0"/>
          <w:divBdr>
            <w:top w:val="none" w:sz="0" w:space="0" w:color="auto"/>
            <w:left w:val="none" w:sz="0" w:space="0" w:color="auto"/>
            <w:bottom w:val="none" w:sz="0" w:space="0" w:color="auto"/>
            <w:right w:val="none" w:sz="0" w:space="0" w:color="auto"/>
          </w:divBdr>
          <w:divsChild>
            <w:div w:id="1763717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650052">
      <w:bodyDiv w:val="1"/>
      <w:marLeft w:val="0"/>
      <w:marRight w:val="0"/>
      <w:marTop w:val="0"/>
      <w:marBottom w:val="0"/>
      <w:divBdr>
        <w:top w:val="none" w:sz="0" w:space="0" w:color="auto"/>
        <w:left w:val="none" w:sz="0" w:space="0" w:color="auto"/>
        <w:bottom w:val="none" w:sz="0" w:space="0" w:color="auto"/>
        <w:right w:val="none" w:sz="0" w:space="0" w:color="auto"/>
      </w:divBdr>
      <w:divsChild>
        <w:div w:id="1773546029">
          <w:marLeft w:val="480"/>
          <w:marRight w:val="0"/>
          <w:marTop w:val="0"/>
          <w:marBottom w:val="0"/>
          <w:divBdr>
            <w:top w:val="none" w:sz="0" w:space="0" w:color="auto"/>
            <w:left w:val="none" w:sz="0" w:space="0" w:color="auto"/>
            <w:bottom w:val="none" w:sz="0" w:space="0" w:color="auto"/>
            <w:right w:val="none" w:sz="0" w:space="0" w:color="auto"/>
          </w:divBdr>
          <w:divsChild>
            <w:div w:id="36945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652489">
      <w:bodyDiv w:val="1"/>
      <w:marLeft w:val="0"/>
      <w:marRight w:val="0"/>
      <w:marTop w:val="0"/>
      <w:marBottom w:val="0"/>
      <w:divBdr>
        <w:top w:val="none" w:sz="0" w:space="0" w:color="auto"/>
        <w:left w:val="none" w:sz="0" w:space="0" w:color="auto"/>
        <w:bottom w:val="none" w:sz="0" w:space="0" w:color="auto"/>
        <w:right w:val="none" w:sz="0" w:space="0" w:color="auto"/>
      </w:divBdr>
      <w:divsChild>
        <w:div w:id="1642887544">
          <w:marLeft w:val="480"/>
          <w:marRight w:val="0"/>
          <w:marTop w:val="0"/>
          <w:marBottom w:val="0"/>
          <w:divBdr>
            <w:top w:val="none" w:sz="0" w:space="0" w:color="auto"/>
            <w:left w:val="none" w:sz="0" w:space="0" w:color="auto"/>
            <w:bottom w:val="none" w:sz="0" w:space="0" w:color="auto"/>
            <w:right w:val="none" w:sz="0" w:space="0" w:color="auto"/>
          </w:divBdr>
          <w:divsChild>
            <w:div w:id="295915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388603">
      <w:bodyDiv w:val="1"/>
      <w:marLeft w:val="0"/>
      <w:marRight w:val="0"/>
      <w:marTop w:val="0"/>
      <w:marBottom w:val="0"/>
      <w:divBdr>
        <w:top w:val="none" w:sz="0" w:space="0" w:color="auto"/>
        <w:left w:val="none" w:sz="0" w:space="0" w:color="auto"/>
        <w:bottom w:val="none" w:sz="0" w:space="0" w:color="auto"/>
        <w:right w:val="none" w:sz="0" w:space="0" w:color="auto"/>
      </w:divBdr>
      <w:divsChild>
        <w:div w:id="79107481">
          <w:marLeft w:val="480"/>
          <w:marRight w:val="0"/>
          <w:marTop w:val="0"/>
          <w:marBottom w:val="0"/>
          <w:divBdr>
            <w:top w:val="none" w:sz="0" w:space="0" w:color="auto"/>
            <w:left w:val="none" w:sz="0" w:space="0" w:color="auto"/>
            <w:bottom w:val="none" w:sz="0" w:space="0" w:color="auto"/>
            <w:right w:val="none" w:sz="0" w:space="0" w:color="auto"/>
          </w:divBdr>
          <w:divsChild>
            <w:div w:id="880701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709174">
      <w:bodyDiv w:val="1"/>
      <w:marLeft w:val="0"/>
      <w:marRight w:val="0"/>
      <w:marTop w:val="0"/>
      <w:marBottom w:val="0"/>
      <w:divBdr>
        <w:top w:val="none" w:sz="0" w:space="0" w:color="auto"/>
        <w:left w:val="none" w:sz="0" w:space="0" w:color="auto"/>
        <w:bottom w:val="none" w:sz="0" w:space="0" w:color="auto"/>
        <w:right w:val="none" w:sz="0" w:space="0" w:color="auto"/>
      </w:divBdr>
      <w:divsChild>
        <w:div w:id="712000344">
          <w:marLeft w:val="480"/>
          <w:marRight w:val="0"/>
          <w:marTop w:val="0"/>
          <w:marBottom w:val="0"/>
          <w:divBdr>
            <w:top w:val="none" w:sz="0" w:space="0" w:color="auto"/>
            <w:left w:val="none" w:sz="0" w:space="0" w:color="auto"/>
            <w:bottom w:val="none" w:sz="0" w:space="0" w:color="auto"/>
            <w:right w:val="none" w:sz="0" w:space="0" w:color="auto"/>
          </w:divBdr>
          <w:divsChild>
            <w:div w:id="1241673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967829">
      <w:bodyDiv w:val="1"/>
      <w:marLeft w:val="0"/>
      <w:marRight w:val="0"/>
      <w:marTop w:val="0"/>
      <w:marBottom w:val="0"/>
      <w:divBdr>
        <w:top w:val="none" w:sz="0" w:space="0" w:color="auto"/>
        <w:left w:val="none" w:sz="0" w:space="0" w:color="auto"/>
        <w:bottom w:val="none" w:sz="0" w:space="0" w:color="auto"/>
        <w:right w:val="none" w:sz="0" w:space="0" w:color="auto"/>
      </w:divBdr>
      <w:divsChild>
        <w:div w:id="2054646432">
          <w:marLeft w:val="480"/>
          <w:marRight w:val="0"/>
          <w:marTop w:val="0"/>
          <w:marBottom w:val="0"/>
          <w:divBdr>
            <w:top w:val="none" w:sz="0" w:space="0" w:color="auto"/>
            <w:left w:val="none" w:sz="0" w:space="0" w:color="auto"/>
            <w:bottom w:val="none" w:sz="0" w:space="0" w:color="auto"/>
            <w:right w:val="none" w:sz="0" w:space="0" w:color="auto"/>
          </w:divBdr>
          <w:divsChild>
            <w:div w:id="898977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011177">
      <w:bodyDiv w:val="1"/>
      <w:marLeft w:val="0"/>
      <w:marRight w:val="0"/>
      <w:marTop w:val="0"/>
      <w:marBottom w:val="0"/>
      <w:divBdr>
        <w:top w:val="none" w:sz="0" w:space="0" w:color="auto"/>
        <w:left w:val="none" w:sz="0" w:space="0" w:color="auto"/>
        <w:bottom w:val="none" w:sz="0" w:space="0" w:color="auto"/>
        <w:right w:val="none" w:sz="0" w:space="0" w:color="auto"/>
      </w:divBdr>
      <w:divsChild>
        <w:div w:id="1180243117">
          <w:marLeft w:val="480"/>
          <w:marRight w:val="0"/>
          <w:marTop w:val="0"/>
          <w:marBottom w:val="0"/>
          <w:divBdr>
            <w:top w:val="none" w:sz="0" w:space="0" w:color="auto"/>
            <w:left w:val="none" w:sz="0" w:space="0" w:color="auto"/>
            <w:bottom w:val="none" w:sz="0" w:space="0" w:color="auto"/>
            <w:right w:val="none" w:sz="0" w:space="0" w:color="auto"/>
          </w:divBdr>
          <w:divsChild>
            <w:div w:id="87972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054107">
      <w:bodyDiv w:val="1"/>
      <w:marLeft w:val="0"/>
      <w:marRight w:val="0"/>
      <w:marTop w:val="0"/>
      <w:marBottom w:val="0"/>
      <w:divBdr>
        <w:top w:val="none" w:sz="0" w:space="0" w:color="auto"/>
        <w:left w:val="none" w:sz="0" w:space="0" w:color="auto"/>
        <w:bottom w:val="none" w:sz="0" w:space="0" w:color="auto"/>
        <w:right w:val="none" w:sz="0" w:space="0" w:color="auto"/>
      </w:divBdr>
      <w:divsChild>
        <w:div w:id="1274557201">
          <w:marLeft w:val="480"/>
          <w:marRight w:val="0"/>
          <w:marTop w:val="0"/>
          <w:marBottom w:val="0"/>
          <w:divBdr>
            <w:top w:val="none" w:sz="0" w:space="0" w:color="auto"/>
            <w:left w:val="none" w:sz="0" w:space="0" w:color="auto"/>
            <w:bottom w:val="none" w:sz="0" w:space="0" w:color="auto"/>
            <w:right w:val="none" w:sz="0" w:space="0" w:color="auto"/>
          </w:divBdr>
          <w:divsChild>
            <w:div w:id="208066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752595">
      <w:bodyDiv w:val="1"/>
      <w:marLeft w:val="0"/>
      <w:marRight w:val="0"/>
      <w:marTop w:val="0"/>
      <w:marBottom w:val="0"/>
      <w:divBdr>
        <w:top w:val="none" w:sz="0" w:space="0" w:color="auto"/>
        <w:left w:val="none" w:sz="0" w:space="0" w:color="auto"/>
        <w:bottom w:val="none" w:sz="0" w:space="0" w:color="auto"/>
        <w:right w:val="none" w:sz="0" w:space="0" w:color="auto"/>
      </w:divBdr>
      <w:divsChild>
        <w:div w:id="1944419265">
          <w:marLeft w:val="480"/>
          <w:marRight w:val="0"/>
          <w:marTop w:val="0"/>
          <w:marBottom w:val="0"/>
          <w:divBdr>
            <w:top w:val="none" w:sz="0" w:space="0" w:color="auto"/>
            <w:left w:val="none" w:sz="0" w:space="0" w:color="auto"/>
            <w:bottom w:val="none" w:sz="0" w:space="0" w:color="auto"/>
            <w:right w:val="none" w:sz="0" w:space="0" w:color="auto"/>
          </w:divBdr>
          <w:divsChild>
            <w:div w:id="178437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374489">
      <w:bodyDiv w:val="1"/>
      <w:marLeft w:val="0"/>
      <w:marRight w:val="0"/>
      <w:marTop w:val="0"/>
      <w:marBottom w:val="0"/>
      <w:divBdr>
        <w:top w:val="none" w:sz="0" w:space="0" w:color="auto"/>
        <w:left w:val="none" w:sz="0" w:space="0" w:color="auto"/>
        <w:bottom w:val="none" w:sz="0" w:space="0" w:color="auto"/>
        <w:right w:val="none" w:sz="0" w:space="0" w:color="auto"/>
      </w:divBdr>
      <w:divsChild>
        <w:div w:id="280301664">
          <w:marLeft w:val="480"/>
          <w:marRight w:val="0"/>
          <w:marTop w:val="0"/>
          <w:marBottom w:val="0"/>
          <w:divBdr>
            <w:top w:val="none" w:sz="0" w:space="0" w:color="auto"/>
            <w:left w:val="none" w:sz="0" w:space="0" w:color="auto"/>
            <w:bottom w:val="none" w:sz="0" w:space="0" w:color="auto"/>
            <w:right w:val="none" w:sz="0" w:space="0" w:color="auto"/>
          </w:divBdr>
          <w:divsChild>
            <w:div w:id="1522888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686077">
      <w:bodyDiv w:val="1"/>
      <w:marLeft w:val="0"/>
      <w:marRight w:val="0"/>
      <w:marTop w:val="0"/>
      <w:marBottom w:val="0"/>
      <w:divBdr>
        <w:top w:val="none" w:sz="0" w:space="0" w:color="auto"/>
        <w:left w:val="none" w:sz="0" w:space="0" w:color="auto"/>
        <w:bottom w:val="none" w:sz="0" w:space="0" w:color="auto"/>
        <w:right w:val="none" w:sz="0" w:space="0" w:color="auto"/>
      </w:divBdr>
      <w:divsChild>
        <w:div w:id="1569924504">
          <w:marLeft w:val="480"/>
          <w:marRight w:val="0"/>
          <w:marTop w:val="0"/>
          <w:marBottom w:val="0"/>
          <w:divBdr>
            <w:top w:val="none" w:sz="0" w:space="0" w:color="auto"/>
            <w:left w:val="none" w:sz="0" w:space="0" w:color="auto"/>
            <w:bottom w:val="none" w:sz="0" w:space="0" w:color="auto"/>
            <w:right w:val="none" w:sz="0" w:space="0" w:color="auto"/>
          </w:divBdr>
          <w:divsChild>
            <w:div w:id="1936671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358662">
      <w:bodyDiv w:val="1"/>
      <w:marLeft w:val="0"/>
      <w:marRight w:val="0"/>
      <w:marTop w:val="0"/>
      <w:marBottom w:val="0"/>
      <w:divBdr>
        <w:top w:val="none" w:sz="0" w:space="0" w:color="auto"/>
        <w:left w:val="none" w:sz="0" w:space="0" w:color="auto"/>
        <w:bottom w:val="none" w:sz="0" w:space="0" w:color="auto"/>
        <w:right w:val="none" w:sz="0" w:space="0" w:color="auto"/>
      </w:divBdr>
      <w:divsChild>
        <w:div w:id="1468625207">
          <w:marLeft w:val="480"/>
          <w:marRight w:val="0"/>
          <w:marTop w:val="0"/>
          <w:marBottom w:val="0"/>
          <w:divBdr>
            <w:top w:val="none" w:sz="0" w:space="0" w:color="auto"/>
            <w:left w:val="none" w:sz="0" w:space="0" w:color="auto"/>
            <w:bottom w:val="none" w:sz="0" w:space="0" w:color="auto"/>
            <w:right w:val="none" w:sz="0" w:space="0" w:color="auto"/>
          </w:divBdr>
          <w:divsChild>
            <w:div w:id="305862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152377">
      <w:bodyDiv w:val="1"/>
      <w:marLeft w:val="0"/>
      <w:marRight w:val="0"/>
      <w:marTop w:val="0"/>
      <w:marBottom w:val="0"/>
      <w:divBdr>
        <w:top w:val="none" w:sz="0" w:space="0" w:color="auto"/>
        <w:left w:val="none" w:sz="0" w:space="0" w:color="auto"/>
        <w:bottom w:val="none" w:sz="0" w:space="0" w:color="auto"/>
        <w:right w:val="none" w:sz="0" w:space="0" w:color="auto"/>
      </w:divBdr>
      <w:divsChild>
        <w:div w:id="1332293938">
          <w:marLeft w:val="480"/>
          <w:marRight w:val="0"/>
          <w:marTop w:val="0"/>
          <w:marBottom w:val="0"/>
          <w:divBdr>
            <w:top w:val="none" w:sz="0" w:space="0" w:color="auto"/>
            <w:left w:val="none" w:sz="0" w:space="0" w:color="auto"/>
            <w:bottom w:val="none" w:sz="0" w:space="0" w:color="auto"/>
            <w:right w:val="none" w:sz="0" w:space="0" w:color="auto"/>
          </w:divBdr>
          <w:divsChild>
            <w:div w:id="71758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0345179">
      <w:bodyDiv w:val="1"/>
      <w:marLeft w:val="0"/>
      <w:marRight w:val="0"/>
      <w:marTop w:val="0"/>
      <w:marBottom w:val="0"/>
      <w:divBdr>
        <w:top w:val="none" w:sz="0" w:space="0" w:color="auto"/>
        <w:left w:val="none" w:sz="0" w:space="0" w:color="auto"/>
        <w:bottom w:val="none" w:sz="0" w:space="0" w:color="auto"/>
        <w:right w:val="none" w:sz="0" w:space="0" w:color="auto"/>
      </w:divBdr>
      <w:divsChild>
        <w:div w:id="282545251">
          <w:marLeft w:val="480"/>
          <w:marRight w:val="0"/>
          <w:marTop w:val="0"/>
          <w:marBottom w:val="0"/>
          <w:divBdr>
            <w:top w:val="none" w:sz="0" w:space="0" w:color="auto"/>
            <w:left w:val="none" w:sz="0" w:space="0" w:color="auto"/>
            <w:bottom w:val="none" w:sz="0" w:space="0" w:color="auto"/>
            <w:right w:val="none" w:sz="0" w:space="0" w:color="auto"/>
          </w:divBdr>
          <w:divsChild>
            <w:div w:id="59258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rown.edu/academics/college/academicadvisinghours" TargetMode="External"/><Relationship Id="rId13" Type="http://schemas.openxmlformats.org/officeDocument/2006/relationships/hyperlink" Target="https://caps.brown.edu/" TargetMode="External"/><Relationship Id="rId3" Type="http://schemas.openxmlformats.org/officeDocument/2006/relationships/settings" Target="settings.xml"/><Relationship Id="rId7" Type="http://schemas.openxmlformats.org/officeDocument/2006/relationships/hyperlink" Target="mailto:seas@brown.edu" TargetMode="External"/><Relationship Id="rId12" Type="http://schemas.openxmlformats.org/officeDocument/2006/relationships/hyperlink" Target="https://www.brown.edu/offices/student-support/student-support-servic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rown.edu/campus-life/support/accessibility-services/" TargetMode="External"/><Relationship Id="rId11" Type="http://schemas.openxmlformats.org/officeDocument/2006/relationships/hyperlink" Target="https://www.brown.edu/sheridan/programs-services/writing/writing-center" TargetMode="External"/><Relationship Id="rId5" Type="http://schemas.openxmlformats.org/officeDocument/2006/relationships/hyperlink" Target="https://college.brown.edu/design-your-education/academic-policies/academic-code" TargetMode="External"/><Relationship Id="rId15" Type="http://schemas.openxmlformats.org/officeDocument/2006/relationships/theme" Target="theme/theme1.xml"/><Relationship Id="rId10" Type="http://schemas.openxmlformats.org/officeDocument/2006/relationships/hyperlink" Target="mailto:graduate_school@brown.edu" TargetMode="External"/><Relationship Id="rId4" Type="http://schemas.openxmlformats.org/officeDocument/2006/relationships/webSettings" Target="webSettings.xml"/><Relationship Id="rId9" Type="http://schemas.openxmlformats.org/officeDocument/2006/relationships/hyperlink" Target="mailto:college@brown.ed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8</Pages>
  <Words>2878</Words>
  <Characters>15749</Characters>
  <Application>Microsoft Office Word</Application>
  <DocSecurity>0</DocSecurity>
  <Lines>266</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Gabriella Levy</dc:creator>
  <cp:keywords/>
  <dc:description/>
  <cp:lastModifiedBy>Levy, Gabriella</cp:lastModifiedBy>
  <cp:revision>22</cp:revision>
  <dcterms:created xsi:type="dcterms:W3CDTF">2021-06-30T19:34:00Z</dcterms:created>
  <dcterms:modified xsi:type="dcterms:W3CDTF">2023-08-18T13:53:00Z</dcterms:modified>
</cp:coreProperties>
</file>