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656403" w14:textId="77777777" w:rsidR="001F44EB" w:rsidRPr="00ED5E6D" w:rsidRDefault="001F44EB" w:rsidP="001F44EB">
      <w:pPr>
        <w:jc w:val="center"/>
        <w:rPr>
          <w:sz w:val="32"/>
          <w:szCs w:val="32"/>
        </w:rPr>
      </w:pPr>
      <w:r w:rsidRPr="00ED5E6D">
        <w:rPr>
          <w:sz w:val="32"/>
          <w:szCs w:val="32"/>
        </w:rPr>
        <w:t>Survey Methodology</w:t>
      </w:r>
    </w:p>
    <w:p w14:paraId="14BAAD98" w14:textId="47D62CF7" w:rsidR="001F44EB" w:rsidRPr="00ED5E6D" w:rsidRDefault="003A7F65" w:rsidP="001F44EB">
      <w:pPr>
        <w:jc w:val="center"/>
      </w:pPr>
      <w:r>
        <w:t xml:space="preserve">Dr. </w:t>
      </w:r>
      <w:r w:rsidR="001F44EB" w:rsidRPr="00ED5E6D">
        <w:t>Gabriella Levy</w:t>
      </w:r>
    </w:p>
    <w:p w14:paraId="58A26647" w14:textId="77777777" w:rsidR="001F44EB" w:rsidRPr="00ED5E6D" w:rsidRDefault="001F44EB" w:rsidP="001F44EB"/>
    <w:p w14:paraId="7E978A3D" w14:textId="746C7C9B" w:rsidR="003A7F65" w:rsidRPr="003A7F65" w:rsidRDefault="003A7F65" w:rsidP="003A7F65">
      <w:pPr>
        <w:rPr>
          <w:b/>
          <w:lang w:val="es-ES"/>
        </w:rPr>
      </w:pPr>
      <w:r w:rsidRPr="003A7F65">
        <w:rPr>
          <w:lang w:val="es-ES"/>
        </w:rPr>
        <w:t>Instructor: Dr. Gabriella Levy (</w:t>
      </w:r>
      <w:r w:rsidR="00E97778">
        <w:rPr>
          <w:lang w:val="es-ES"/>
        </w:rPr>
        <w:t>gabriella_levy@brown.edu</w:t>
      </w:r>
      <w:r w:rsidRPr="003A7F65">
        <w:rPr>
          <w:lang w:val="es-ES"/>
        </w:rPr>
        <w:t>)</w:t>
      </w:r>
    </w:p>
    <w:p w14:paraId="169F3CA0" w14:textId="77777777" w:rsidR="003A7F65" w:rsidRPr="00B66E1E" w:rsidRDefault="003A7F65" w:rsidP="003A7F65">
      <w:r w:rsidRPr="00B66E1E">
        <w:t xml:space="preserve">Class Time: </w:t>
      </w:r>
    </w:p>
    <w:p w14:paraId="75E58057" w14:textId="77777777" w:rsidR="003A7F65" w:rsidRPr="00B66E1E" w:rsidRDefault="003A7F65" w:rsidP="003A7F65">
      <w:r w:rsidRPr="00B66E1E">
        <w:t xml:space="preserve">Class Location: </w:t>
      </w:r>
    </w:p>
    <w:p w14:paraId="00798EFB" w14:textId="77777777" w:rsidR="003A7F65" w:rsidRDefault="003A7F65" w:rsidP="003A7F65">
      <w:r w:rsidRPr="00B66E1E">
        <w:t xml:space="preserve">Office Hour: </w:t>
      </w:r>
    </w:p>
    <w:p w14:paraId="526EF2F2" w14:textId="77777777" w:rsidR="003A7F65" w:rsidRPr="00B66E1E" w:rsidRDefault="003A7F65" w:rsidP="003A7F65">
      <w:r>
        <w:t xml:space="preserve">Office Hour Location: </w:t>
      </w:r>
    </w:p>
    <w:p w14:paraId="685FA05C" w14:textId="77777777" w:rsidR="001F44EB" w:rsidRPr="005F3225" w:rsidRDefault="001F44EB" w:rsidP="001F44EB"/>
    <w:p w14:paraId="3797E488" w14:textId="77777777" w:rsidR="001F44EB" w:rsidRPr="005F3225" w:rsidRDefault="001F44EB" w:rsidP="001F44EB">
      <w:pPr>
        <w:rPr>
          <w:b/>
        </w:rPr>
      </w:pPr>
      <w:r w:rsidRPr="005F3225">
        <w:rPr>
          <w:b/>
        </w:rPr>
        <w:t>Course Overview:</w:t>
      </w:r>
    </w:p>
    <w:p w14:paraId="5926F997" w14:textId="77777777" w:rsidR="001F44EB" w:rsidRPr="005F3225" w:rsidRDefault="001F44EB" w:rsidP="001F44EB">
      <w:pPr>
        <w:rPr>
          <w:b/>
        </w:rPr>
      </w:pPr>
    </w:p>
    <w:p w14:paraId="4741FAEF" w14:textId="779510CE" w:rsidR="001F44EB" w:rsidRPr="005F3225" w:rsidRDefault="001F44EB" w:rsidP="001F44EB">
      <w:r>
        <w:t xml:space="preserve">This course is aimed at graduate student in Political Science. In the first half of the course, students will learn the principles of survey design, including sampling, survey mode, and questionnaire design. They will also learn how to consider the tradeoffs inherent in designing surveys with limited funds. The second half of the course will focus on a variety of survey experimental techniques, ranging from vignettes to surveys combined with RCTs to eye tracking. We will finish the course with a study of survey ethics and the practicalities of fielding a survey. Readings in this class draw on the subfields of Methodology, Comparative Politics, American Politics, and International Relations. </w:t>
      </w:r>
      <w:r w:rsidR="004B298A">
        <w:t>Students will conduct a replication and extension exercise as well as complete a research project or proposal.</w:t>
      </w:r>
    </w:p>
    <w:p w14:paraId="49447DF0" w14:textId="77777777" w:rsidR="001F44EB" w:rsidRPr="005F3225" w:rsidRDefault="001F44EB" w:rsidP="001F44EB">
      <w:pPr>
        <w:rPr>
          <w:b/>
        </w:rPr>
      </w:pPr>
    </w:p>
    <w:p w14:paraId="63A0353B" w14:textId="77777777" w:rsidR="001F44EB" w:rsidRPr="005F3225" w:rsidRDefault="001F44EB" w:rsidP="001F44EB">
      <w:pPr>
        <w:rPr>
          <w:b/>
        </w:rPr>
      </w:pPr>
      <w:r w:rsidRPr="005F3225">
        <w:rPr>
          <w:b/>
        </w:rPr>
        <w:t>Required Readings:</w:t>
      </w:r>
    </w:p>
    <w:p w14:paraId="1426F87F" w14:textId="77777777" w:rsidR="001F44EB" w:rsidRPr="005F3225" w:rsidRDefault="001F44EB" w:rsidP="001F44EB">
      <w:pPr>
        <w:rPr>
          <w:b/>
        </w:rPr>
      </w:pPr>
    </w:p>
    <w:p w14:paraId="3617CE5E" w14:textId="4678EB36" w:rsidR="001F44EB" w:rsidRDefault="001F44EB" w:rsidP="001F44EB">
      <w:r w:rsidRPr="005F3225">
        <w:t>You are expected to come to class having read the pages assigned for that day</w:t>
      </w:r>
      <w:r>
        <w:t>.</w:t>
      </w:r>
      <w:r w:rsidRPr="005F3225">
        <w:t xml:space="preserve"> </w:t>
      </w:r>
      <w:r>
        <w:t>All journal articles are available online. There is also one required book for this course:</w:t>
      </w:r>
    </w:p>
    <w:p w14:paraId="4A54C8C2" w14:textId="77777777" w:rsidR="001F44EB" w:rsidRDefault="001F44EB" w:rsidP="001F44EB"/>
    <w:p w14:paraId="31A6A7CC" w14:textId="77777777" w:rsidR="001F44EB" w:rsidRDefault="001F44EB" w:rsidP="001F44EB">
      <w:r>
        <w:t xml:space="preserve">Robert M. Groves, Floyd J. Fowler, Mick P. Couper, James M. </w:t>
      </w:r>
      <w:proofErr w:type="spellStart"/>
      <w:r>
        <w:t>Lepkowski</w:t>
      </w:r>
      <w:proofErr w:type="spellEnd"/>
      <w:r>
        <w:t xml:space="preserve">, Eleanor Singer, and Roger Tourangeau. </w:t>
      </w:r>
      <w:r w:rsidRPr="00353294">
        <w:rPr>
          <w:i/>
          <w:iCs/>
        </w:rPr>
        <w:t>Survey Methodology</w:t>
      </w:r>
      <w:r>
        <w:t>. Wiley-</w:t>
      </w:r>
      <w:proofErr w:type="spellStart"/>
      <w:r>
        <w:t>Interscience</w:t>
      </w:r>
      <w:proofErr w:type="spellEnd"/>
      <w:r>
        <w:t>, second edition, 2009.</w:t>
      </w:r>
    </w:p>
    <w:p w14:paraId="61801779" w14:textId="77777777" w:rsidR="001F44EB" w:rsidRDefault="001F44EB" w:rsidP="001F44EB"/>
    <w:p w14:paraId="0A11590C" w14:textId="77777777" w:rsidR="001F44EB" w:rsidRPr="005F3225" w:rsidRDefault="001F44EB" w:rsidP="001F44EB">
      <w:pPr>
        <w:rPr>
          <w:b/>
        </w:rPr>
      </w:pPr>
      <w:r w:rsidRPr="005F3225">
        <w:rPr>
          <w:b/>
        </w:rPr>
        <w:t>Assignments:</w:t>
      </w:r>
    </w:p>
    <w:p w14:paraId="5691DDE6" w14:textId="77777777" w:rsidR="001F44EB" w:rsidRPr="005F3225" w:rsidRDefault="001F44EB" w:rsidP="001F44EB">
      <w:pPr>
        <w:rPr>
          <w:b/>
        </w:rPr>
      </w:pPr>
    </w:p>
    <w:tbl>
      <w:tblPr>
        <w:tblStyle w:val="TableGrid"/>
        <w:tblW w:w="0" w:type="auto"/>
        <w:tblLook w:val="04A0" w:firstRow="1" w:lastRow="0" w:firstColumn="1" w:lastColumn="0" w:noHBand="0" w:noVBand="1"/>
      </w:tblPr>
      <w:tblGrid>
        <w:gridCol w:w="1525"/>
        <w:gridCol w:w="1440"/>
        <w:gridCol w:w="4860"/>
        <w:gridCol w:w="1525"/>
      </w:tblGrid>
      <w:tr w:rsidR="001F44EB" w:rsidRPr="005F3225" w14:paraId="5274C6CD" w14:textId="77777777" w:rsidTr="00821572">
        <w:tc>
          <w:tcPr>
            <w:tcW w:w="1525" w:type="dxa"/>
          </w:tcPr>
          <w:p w14:paraId="34FAB7C4" w14:textId="77777777" w:rsidR="001F44EB" w:rsidRPr="005F3225" w:rsidRDefault="001F44EB" w:rsidP="00821572">
            <w:pPr>
              <w:rPr>
                <w:i/>
              </w:rPr>
            </w:pPr>
            <w:r w:rsidRPr="005F3225">
              <w:rPr>
                <w:i/>
              </w:rPr>
              <w:t>Assignment</w:t>
            </w:r>
          </w:p>
        </w:tc>
        <w:tc>
          <w:tcPr>
            <w:tcW w:w="1440" w:type="dxa"/>
          </w:tcPr>
          <w:p w14:paraId="1168B3AC" w14:textId="77777777" w:rsidR="001F44EB" w:rsidRPr="005F3225" w:rsidRDefault="001F44EB" w:rsidP="00821572">
            <w:pPr>
              <w:rPr>
                <w:i/>
              </w:rPr>
            </w:pPr>
            <w:r w:rsidRPr="005F3225">
              <w:rPr>
                <w:i/>
              </w:rPr>
              <w:t>Percentage</w:t>
            </w:r>
          </w:p>
        </w:tc>
        <w:tc>
          <w:tcPr>
            <w:tcW w:w="4860" w:type="dxa"/>
          </w:tcPr>
          <w:p w14:paraId="78C17C50" w14:textId="77777777" w:rsidR="001F44EB" w:rsidRPr="005F3225" w:rsidRDefault="001F44EB" w:rsidP="00821572">
            <w:pPr>
              <w:rPr>
                <w:i/>
              </w:rPr>
            </w:pPr>
            <w:r w:rsidRPr="005F3225">
              <w:rPr>
                <w:i/>
              </w:rPr>
              <w:t>How it will be assessed</w:t>
            </w:r>
          </w:p>
        </w:tc>
        <w:tc>
          <w:tcPr>
            <w:tcW w:w="1525" w:type="dxa"/>
          </w:tcPr>
          <w:p w14:paraId="31CAF70F" w14:textId="77777777" w:rsidR="001F44EB" w:rsidRPr="005F3225" w:rsidRDefault="001F44EB" w:rsidP="00821572">
            <w:pPr>
              <w:rPr>
                <w:i/>
              </w:rPr>
            </w:pPr>
            <w:r w:rsidRPr="005F3225">
              <w:rPr>
                <w:i/>
              </w:rPr>
              <w:t>Date</w:t>
            </w:r>
          </w:p>
        </w:tc>
      </w:tr>
      <w:tr w:rsidR="001F44EB" w:rsidRPr="005F3225" w14:paraId="2BCFCA5B" w14:textId="77777777" w:rsidTr="00821572">
        <w:tc>
          <w:tcPr>
            <w:tcW w:w="1525" w:type="dxa"/>
          </w:tcPr>
          <w:p w14:paraId="64FB83D5" w14:textId="77777777" w:rsidR="001F44EB" w:rsidRPr="005F3225" w:rsidRDefault="001F44EB" w:rsidP="00821572">
            <w:r w:rsidRPr="005F3225">
              <w:t>Participation</w:t>
            </w:r>
          </w:p>
        </w:tc>
        <w:tc>
          <w:tcPr>
            <w:tcW w:w="1440" w:type="dxa"/>
          </w:tcPr>
          <w:p w14:paraId="1FFD68A9" w14:textId="77777777" w:rsidR="001F44EB" w:rsidRPr="005F3225" w:rsidRDefault="001F44EB" w:rsidP="00821572">
            <w:r>
              <w:t>20</w:t>
            </w:r>
          </w:p>
        </w:tc>
        <w:tc>
          <w:tcPr>
            <w:tcW w:w="4860" w:type="dxa"/>
          </w:tcPr>
          <w:p w14:paraId="57A4CC8C" w14:textId="77777777" w:rsidR="001F44EB" w:rsidRPr="005F3225" w:rsidRDefault="001F44EB" w:rsidP="00821572">
            <w:r w:rsidRPr="005F3225">
              <w:t>Attendance &amp; participation in weekly classes</w:t>
            </w:r>
          </w:p>
        </w:tc>
        <w:tc>
          <w:tcPr>
            <w:tcW w:w="1525" w:type="dxa"/>
          </w:tcPr>
          <w:p w14:paraId="6847F6B1" w14:textId="77777777" w:rsidR="001F44EB" w:rsidRPr="005F3225" w:rsidRDefault="001F44EB" w:rsidP="00821572">
            <w:r w:rsidRPr="005F3225">
              <w:t>Every week</w:t>
            </w:r>
          </w:p>
        </w:tc>
      </w:tr>
      <w:tr w:rsidR="001F44EB" w:rsidRPr="005F3225" w14:paraId="75E6063B" w14:textId="77777777" w:rsidTr="00821572">
        <w:tc>
          <w:tcPr>
            <w:tcW w:w="1525" w:type="dxa"/>
          </w:tcPr>
          <w:p w14:paraId="5D92C7AB" w14:textId="77777777" w:rsidR="001F44EB" w:rsidRPr="005F3225" w:rsidRDefault="001F44EB" w:rsidP="00821572">
            <w:r>
              <w:t xml:space="preserve">Replication Exercise </w:t>
            </w:r>
          </w:p>
        </w:tc>
        <w:tc>
          <w:tcPr>
            <w:tcW w:w="1440" w:type="dxa"/>
          </w:tcPr>
          <w:p w14:paraId="6302D751" w14:textId="77777777" w:rsidR="001F44EB" w:rsidRPr="005F3225" w:rsidRDefault="001F44EB" w:rsidP="00821572">
            <w:r>
              <w:t>30</w:t>
            </w:r>
          </w:p>
        </w:tc>
        <w:tc>
          <w:tcPr>
            <w:tcW w:w="4860" w:type="dxa"/>
          </w:tcPr>
          <w:p w14:paraId="7F0B235A" w14:textId="77777777" w:rsidR="001F44EB" w:rsidRPr="005F3225" w:rsidRDefault="001F44EB" w:rsidP="00821572">
            <w:r>
              <w:t>Replicate and extend a recently published paper which uses surveys; hand in a 7-10 page write up explaining why you chose the extensions you undertook and what the results were</w:t>
            </w:r>
          </w:p>
        </w:tc>
        <w:tc>
          <w:tcPr>
            <w:tcW w:w="1525" w:type="dxa"/>
          </w:tcPr>
          <w:p w14:paraId="6958273C" w14:textId="77777777" w:rsidR="001F44EB" w:rsidRPr="005F3225" w:rsidRDefault="001F44EB" w:rsidP="00821572">
            <w:r>
              <w:t>Week 6</w:t>
            </w:r>
          </w:p>
        </w:tc>
      </w:tr>
      <w:tr w:rsidR="001F44EB" w:rsidRPr="005F3225" w14:paraId="75427050" w14:textId="77777777" w:rsidTr="00821572">
        <w:trPr>
          <w:trHeight w:val="251"/>
        </w:trPr>
        <w:tc>
          <w:tcPr>
            <w:tcW w:w="1525" w:type="dxa"/>
          </w:tcPr>
          <w:p w14:paraId="1489F2AF" w14:textId="77777777" w:rsidR="001F44EB" w:rsidRPr="005F3225" w:rsidRDefault="001F44EB" w:rsidP="00821572">
            <w:r>
              <w:t>Final Paper</w:t>
            </w:r>
          </w:p>
        </w:tc>
        <w:tc>
          <w:tcPr>
            <w:tcW w:w="1440" w:type="dxa"/>
          </w:tcPr>
          <w:p w14:paraId="0B2FD0C2" w14:textId="77777777" w:rsidR="001F44EB" w:rsidRPr="005F3225" w:rsidRDefault="001F44EB" w:rsidP="00821572">
            <w:r>
              <w:t>50</w:t>
            </w:r>
          </w:p>
        </w:tc>
        <w:tc>
          <w:tcPr>
            <w:tcW w:w="4860" w:type="dxa"/>
          </w:tcPr>
          <w:p w14:paraId="44686A42" w14:textId="77777777" w:rsidR="001F44EB" w:rsidRPr="005F3225" w:rsidRDefault="001F44EB" w:rsidP="00821572">
            <w:r>
              <w:t xml:space="preserve">A 15-25 page research project (or proposal) which 1) describes a research question and why it is important; 2) introduces a theory to answer the question; 3) either uses pre-existing survey data to test these hypotheses OR details a proposed methodology to collect and analyze the original survey data </w:t>
            </w:r>
          </w:p>
        </w:tc>
        <w:tc>
          <w:tcPr>
            <w:tcW w:w="1525" w:type="dxa"/>
          </w:tcPr>
          <w:p w14:paraId="74C14043" w14:textId="77777777" w:rsidR="001F44EB" w:rsidRDefault="001F44EB" w:rsidP="00821572">
            <w:r>
              <w:t>One week after the last class</w:t>
            </w:r>
          </w:p>
          <w:p w14:paraId="34CB45D3" w14:textId="77777777" w:rsidR="001F44EB" w:rsidRPr="008B3C0A" w:rsidRDefault="001F44EB" w:rsidP="00821572">
            <w:pPr>
              <w:ind w:firstLine="720"/>
            </w:pPr>
          </w:p>
        </w:tc>
      </w:tr>
    </w:tbl>
    <w:p w14:paraId="10DBA3E7" w14:textId="77777777" w:rsidR="001F44EB" w:rsidRDefault="001F44EB" w:rsidP="001F44EB">
      <w:pPr>
        <w:rPr>
          <w:b/>
        </w:rPr>
      </w:pPr>
    </w:p>
    <w:p w14:paraId="2E0E493F" w14:textId="77777777" w:rsidR="00E97778" w:rsidRDefault="00E97778" w:rsidP="00E97778">
      <w:pPr>
        <w:rPr>
          <w:b/>
        </w:rPr>
      </w:pPr>
    </w:p>
    <w:p w14:paraId="53271B5A" w14:textId="251B9420" w:rsidR="00E97778" w:rsidRPr="005F3225" w:rsidRDefault="00E97778" w:rsidP="00E97778">
      <w:pPr>
        <w:rPr>
          <w:b/>
        </w:rPr>
      </w:pPr>
      <w:r w:rsidRPr="005F3225">
        <w:rPr>
          <w:b/>
        </w:rPr>
        <w:lastRenderedPageBreak/>
        <w:t>Policies:</w:t>
      </w:r>
    </w:p>
    <w:p w14:paraId="1E5137BF" w14:textId="77777777" w:rsidR="00E97778" w:rsidRPr="005F3225" w:rsidRDefault="00E97778" w:rsidP="00E97778">
      <w:pPr>
        <w:rPr>
          <w:b/>
        </w:rPr>
      </w:pPr>
    </w:p>
    <w:p w14:paraId="2CD44B04" w14:textId="77777777" w:rsidR="00E97778" w:rsidRPr="005F3225" w:rsidRDefault="00E97778" w:rsidP="00E97778">
      <w:r w:rsidRPr="005F3225">
        <w:t xml:space="preserve">You are expected to not only attend but to actively participate in class. </w:t>
      </w:r>
      <w:r>
        <w:t xml:space="preserve">This is a discussion-based class, and it requires your engagement. </w:t>
      </w:r>
      <w:r w:rsidRPr="005F3225">
        <w:t xml:space="preserve">If you must miss class, please provide me with documentation of the reason for the absence </w:t>
      </w:r>
      <w:proofErr w:type="gramStart"/>
      <w:r w:rsidRPr="005F3225">
        <w:t>in order for</w:t>
      </w:r>
      <w:proofErr w:type="gramEnd"/>
      <w:r w:rsidRPr="005F3225">
        <w:t xml:space="preserve"> it to be excused. Each student can take one unexcused absence without a penalty, and all further unexcused absences will result in a 5% reduction of the class participation grade. Similarly, if you need an extension on an assignment, please reach out to me as soon as possible. I will accept late assignments for which I have not granted an extension, but each day that the assignment is late will result in a 5% reduction on the grade. All essays should be double-spaced, with 12-point Times New Roman font and 1-inch margins.</w:t>
      </w:r>
    </w:p>
    <w:p w14:paraId="674EADDF" w14:textId="77777777" w:rsidR="00E97778" w:rsidRPr="005F3225" w:rsidRDefault="00E97778" w:rsidP="00E97778"/>
    <w:p w14:paraId="5071208C" w14:textId="77777777" w:rsidR="00E97778" w:rsidRPr="005F3225" w:rsidRDefault="00E97778" w:rsidP="00E97778">
      <w:r w:rsidRPr="005F3225">
        <w:t xml:space="preserve">If you would like me to review a graded assignment, I will happily do so. Please submit your requests in writing. You must wait 48 hours between the time you receive the graded assignment and when you contact me. I reserve the right to raise or lower your grade.  </w:t>
      </w:r>
    </w:p>
    <w:p w14:paraId="1EFA8137" w14:textId="77777777" w:rsidR="00E97778" w:rsidRPr="005F3225" w:rsidRDefault="00E97778" w:rsidP="00E97778"/>
    <w:p w14:paraId="0B3BD31B" w14:textId="77777777" w:rsidR="00E97778" w:rsidRPr="00B66E1E" w:rsidRDefault="00E97778" w:rsidP="00E97778">
      <w:r w:rsidRPr="00C63F4C">
        <w:t xml:space="preserve">I expect you to comply with the Brown Academic Code. You can find details at </w:t>
      </w:r>
      <w:hyperlink r:id="rId7" w:history="1">
        <w:r w:rsidRPr="00C63F4C">
          <w:rPr>
            <w:rStyle w:val="Hyperlink"/>
          </w:rPr>
          <w:t>https://college.brown.edu/design-your-education/academic-policies/academic-code</w:t>
        </w:r>
      </w:hyperlink>
      <w:r w:rsidRPr="00C63F4C">
        <w:t>.</w:t>
      </w:r>
      <w:r>
        <w:t xml:space="preserve"> </w:t>
      </w:r>
    </w:p>
    <w:p w14:paraId="111E6829" w14:textId="77777777" w:rsidR="00E97778" w:rsidRDefault="00E97778" w:rsidP="00E97778">
      <w:pPr>
        <w:rPr>
          <w:b/>
          <w:bCs/>
        </w:rPr>
      </w:pPr>
    </w:p>
    <w:p w14:paraId="568EACF5" w14:textId="77777777" w:rsidR="00E97778" w:rsidRPr="005F3225" w:rsidRDefault="00E97778" w:rsidP="00E97778">
      <w:pPr>
        <w:rPr>
          <w:b/>
          <w:bCs/>
        </w:rPr>
      </w:pPr>
      <w:r w:rsidRPr="005F3225">
        <w:rPr>
          <w:b/>
          <w:bCs/>
        </w:rPr>
        <w:t>Resources and Support:</w:t>
      </w:r>
    </w:p>
    <w:p w14:paraId="3A8E1875" w14:textId="77777777" w:rsidR="00E97778" w:rsidRPr="005F3225" w:rsidRDefault="00E97778" w:rsidP="00E97778">
      <w:pPr>
        <w:rPr>
          <w:color w:val="222222"/>
          <w:shd w:val="clear" w:color="auto" w:fill="FFFFFF"/>
        </w:rPr>
      </w:pPr>
    </w:p>
    <w:p w14:paraId="784D1818" w14:textId="77777777" w:rsidR="00E97778" w:rsidRPr="00B66E1E" w:rsidRDefault="00E97778" w:rsidP="00E97778">
      <w:pPr>
        <w:ind w:left="360"/>
        <w:rPr>
          <w:color w:val="222222"/>
          <w:shd w:val="clear" w:color="auto" w:fill="FFFFFF"/>
        </w:rPr>
      </w:pPr>
      <w:r w:rsidRPr="00B66E1E">
        <w:rPr>
          <w:color w:val="222222"/>
          <w:shd w:val="clear" w:color="auto" w:fill="FFFFFF"/>
        </w:rPr>
        <w:t xml:space="preserve">1) My goal is to create a learning environment that supports a diverse range of perspectives, experiences, and identities. </w:t>
      </w:r>
    </w:p>
    <w:p w14:paraId="40A23785" w14:textId="77777777" w:rsidR="00E97778" w:rsidRPr="00B66E1E" w:rsidRDefault="00E97778" w:rsidP="00E97778">
      <w:pPr>
        <w:pStyle w:val="ListParagraph"/>
        <w:rPr>
          <w:color w:val="222222"/>
          <w:shd w:val="clear" w:color="auto" w:fill="FFFFFF"/>
        </w:rPr>
      </w:pPr>
    </w:p>
    <w:p w14:paraId="2A38CB40" w14:textId="6B855952" w:rsidR="00E97778" w:rsidRPr="00B66E1E" w:rsidRDefault="00E97778" w:rsidP="00E97778">
      <w:pPr>
        <w:pStyle w:val="ListParagraph"/>
        <w:numPr>
          <w:ilvl w:val="1"/>
          <w:numId w:val="5"/>
        </w:numPr>
        <w:rPr>
          <w:color w:val="000000" w:themeColor="text1"/>
          <w:shd w:val="clear" w:color="auto" w:fill="FFFFFF"/>
        </w:rPr>
      </w:pPr>
      <w:r w:rsidRPr="00B66E1E">
        <w:rPr>
          <w:color w:val="000000" w:themeColor="text1"/>
          <w:shd w:val="clear" w:color="auto" w:fill="FFFFFF"/>
        </w:rPr>
        <w:t xml:space="preserve">I ask that you engage </w:t>
      </w:r>
      <w:r>
        <w:rPr>
          <w:color w:val="000000" w:themeColor="text1"/>
          <w:shd w:val="clear" w:color="auto" w:fill="FFFFFF"/>
        </w:rPr>
        <w:t>in each class meeting</w:t>
      </w:r>
      <w:r w:rsidRPr="00B66E1E">
        <w:rPr>
          <w:color w:val="000000" w:themeColor="text1"/>
          <w:shd w:val="clear" w:color="auto" w:fill="FFFFFF"/>
        </w:rPr>
        <w:t xml:space="preserve"> with care and empathy for the other members in the classroom. </w:t>
      </w:r>
      <w:r w:rsidRPr="00B66E1E">
        <w:rPr>
          <w:color w:val="222222"/>
          <w:shd w:val="clear" w:color="auto" w:fill="FFFFFF"/>
        </w:rPr>
        <w:t xml:space="preserve">I will not tolerate insults; gender or racial slurs; or any other form of bullying, intimidation, or hate speech. I expect all members of this class to contribute to a respectful, welcoming, and inclusive environment for every other member of this class. </w:t>
      </w:r>
    </w:p>
    <w:p w14:paraId="5FDA193C" w14:textId="77777777" w:rsidR="00E97778" w:rsidRPr="00B66E1E" w:rsidRDefault="00E97778" w:rsidP="00E97778">
      <w:pPr>
        <w:pStyle w:val="ListParagraph"/>
        <w:numPr>
          <w:ilvl w:val="1"/>
          <w:numId w:val="5"/>
        </w:numPr>
        <w:rPr>
          <w:color w:val="000000" w:themeColor="text1"/>
          <w:shd w:val="clear" w:color="auto" w:fill="FFFFFF"/>
        </w:rPr>
      </w:pPr>
      <w:r w:rsidRPr="00B66E1E">
        <w:rPr>
          <w:color w:val="3B302C"/>
          <w:shd w:val="clear" w:color="auto" w:fill="FFFFFF"/>
        </w:rPr>
        <w:t>Brown University is committed to full inclusion of all students. Please inform me early in the term if you may require accommodations or modification of any of course procedures. You may speak with me after class, during office hours, or by appointment. If you need accommodations around online learning or in classroom accommodations, please be sure to reach out to </w:t>
      </w:r>
      <w:hyperlink r:id="rId8" w:history="1">
        <w:r w:rsidRPr="00B66E1E">
          <w:rPr>
            <w:rStyle w:val="Hyperlink"/>
            <w:bdr w:val="none" w:sz="0" w:space="0" w:color="auto" w:frame="1"/>
            <w:shd w:val="clear" w:color="auto" w:fill="FFFFFF"/>
          </w:rPr>
          <w:t>Student Accessibility Services (SAS) </w:t>
        </w:r>
      </w:hyperlink>
      <w:r w:rsidRPr="00B66E1E">
        <w:rPr>
          <w:color w:val="3B302C"/>
          <w:shd w:val="clear" w:color="auto" w:fill="FFFFFF"/>
        </w:rPr>
        <w:t>for their assistance (</w:t>
      </w:r>
      <w:hyperlink r:id="rId9" w:history="1">
        <w:r w:rsidRPr="00B66E1E">
          <w:rPr>
            <w:rStyle w:val="Hyperlink"/>
            <w:bdr w:val="none" w:sz="0" w:space="0" w:color="auto" w:frame="1"/>
            <w:shd w:val="clear" w:color="auto" w:fill="FFFFFF"/>
          </w:rPr>
          <w:t>sas@brown.edu</w:t>
        </w:r>
      </w:hyperlink>
      <w:r w:rsidRPr="00B66E1E">
        <w:rPr>
          <w:color w:val="3B302C"/>
          <w:shd w:val="clear" w:color="auto" w:fill="FFFFFF"/>
        </w:rPr>
        <w:t>, 401-863-9588). Undergraduates in need of short-term academic advice or support can </w:t>
      </w:r>
      <w:hyperlink r:id="rId10" w:tgtFrame="_blank" w:history="1">
        <w:r w:rsidRPr="00B66E1E">
          <w:rPr>
            <w:rStyle w:val="Hyperlink"/>
            <w:bdr w:val="none" w:sz="0" w:space="0" w:color="auto" w:frame="1"/>
            <w:shd w:val="clear" w:color="auto" w:fill="FFFFFF"/>
          </w:rPr>
          <w:t>contact an academic dean in the College</w:t>
        </w:r>
      </w:hyperlink>
      <w:r w:rsidRPr="00B66E1E">
        <w:rPr>
          <w:color w:val="3B302C"/>
          <w:shd w:val="clear" w:color="auto" w:fill="FFFFFF"/>
        </w:rPr>
        <w:t> by emailing </w:t>
      </w:r>
      <w:hyperlink r:id="rId11" w:history="1">
        <w:r w:rsidRPr="00B66E1E">
          <w:rPr>
            <w:rStyle w:val="Hyperlink"/>
            <w:bdr w:val="none" w:sz="0" w:space="0" w:color="auto" w:frame="1"/>
            <w:shd w:val="clear" w:color="auto" w:fill="FFFFFF"/>
          </w:rPr>
          <w:t>college@brown.edu</w:t>
        </w:r>
      </w:hyperlink>
      <w:r w:rsidRPr="00B66E1E">
        <w:rPr>
          <w:color w:val="3B302C"/>
          <w:shd w:val="clear" w:color="auto" w:fill="FFFFFF"/>
        </w:rPr>
        <w:t>. Graduate students may contact one of the deans in the Graduate School by emailing </w:t>
      </w:r>
      <w:hyperlink r:id="rId12" w:history="1">
        <w:r w:rsidRPr="00B66E1E">
          <w:rPr>
            <w:rStyle w:val="Hyperlink"/>
            <w:bdr w:val="none" w:sz="0" w:space="0" w:color="auto" w:frame="1"/>
            <w:shd w:val="clear" w:color="auto" w:fill="FFFFFF"/>
          </w:rPr>
          <w:t>graduate_school@brown.edu</w:t>
        </w:r>
      </w:hyperlink>
      <w:r w:rsidRPr="00B66E1E">
        <w:rPr>
          <w:color w:val="3B302C"/>
          <w:shd w:val="clear" w:color="auto" w:fill="FFFFFF"/>
        </w:rPr>
        <w:t>.</w:t>
      </w:r>
    </w:p>
    <w:p w14:paraId="4D06FB79" w14:textId="77777777" w:rsidR="00E97778" w:rsidRPr="00B66E1E" w:rsidRDefault="00E97778" w:rsidP="00E97778">
      <w:pPr>
        <w:pStyle w:val="ListParagraph"/>
        <w:ind w:left="1080"/>
        <w:rPr>
          <w:color w:val="000000" w:themeColor="text1"/>
          <w:shd w:val="clear" w:color="auto" w:fill="FFFFFF"/>
        </w:rPr>
      </w:pPr>
    </w:p>
    <w:p w14:paraId="1FEA2148" w14:textId="77777777" w:rsidR="00E97778" w:rsidRPr="00B66E1E" w:rsidRDefault="00E97778" w:rsidP="00E97778">
      <w:pPr>
        <w:pStyle w:val="ListParagraph"/>
        <w:numPr>
          <w:ilvl w:val="0"/>
          <w:numId w:val="5"/>
        </w:numPr>
      </w:pPr>
      <w:r w:rsidRPr="00B66E1E">
        <w:t>Resources:</w:t>
      </w:r>
    </w:p>
    <w:p w14:paraId="740B9634" w14:textId="77777777" w:rsidR="00E97778" w:rsidRPr="00B66E1E" w:rsidRDefault="00E97778" w:rsidP="00E97778">
      <w:pPr>
        <w:pStyle w:val="ListParagraph"/>
      </w:pPr>
    </w:p>
    <w:p w14:paraId="7B8E3AEE" w14:textId="77777777" w:rsidR="00E97778" w:rsidRPr="00B66E1E" w:rsidRDefault="00E97778" w:rsidP="00E97778">
      <w:pPr>
        <w:pStyle w:val="ListParagraph"/>
        <w:numPr>
          <w:ilvl w:val="1"/>
          <w:numId w:val="5"/>
        </w:numPr>
      </w:pPr>
      <w:r w:rsidRPr="00B66E1E">
        <w:t xml:space="preserve">I recommend that students take full advantage of the Harriet W. Sheridan Center for Teaching and Learning’s </w:t>
      </w:r>
      <w:hyperlink r:id="rId13" w:history="1">
        <w:r w:rsidRPr="00B66E1E">
          <w:rPr>
            <w:rStyle w:val="Hyperlink"/>
          </w:rPr>
          <w:t>Writing Center</w:t>
        </w:r>
      </w:hyperlink>
      <w:r w:rsidRPr="00B66E1E">
        <w:t>.</w:t>
      </w:r>
    </w:p>
    <w:p w14:paraId="1A77A7FC" w14:textId="77777777" w:rsidR="00E97778" w:rsidRDefault="00E97778" w:rsidP="00E97778">
      <w:pPr>
        <w:pStyle w:val="ListParagraph"/>
        <w:numPr>
          <w:ilvl w:val="1"/>
          <w:numId w:val="5"/>
        </w:numPr>
      </w:pPr>
      <w:hyperlink r:id="rId14" w:history="1">
        <w:r w:rsidRPr="00B66E1E">
          <w:rPr>
            <w:rStyle w:val="Hyperlink"/>
          </w:rPr>
          <w:t>Brown Student Support Services</w:t>
        </w:r>
      </w:hyperlink>
      <w:r w:rsidRPr="00B66E1E">
        <w:t xml:space="preserve"> is available to assist students dealing </w:t>
      </w:r>
      <w:r>
        <w:t xml:space="preserve">with a range of issues and concerns. Find out more information online or at 401-863-3145. </w:t>
      </w:r>
    </w:p>
    <w:p w14:paraId="7B743B32" w14:textId="77777777" w:rsidR="00E97778" w:rsidRDefault="00E97778" w:rsidP="00E97778">
      <w:pPr>
        <w:pStyle w:val="ListParagraph"/>
        <w:numPr>
          <w:ilvl w:val="1"/>
          <w:numId w:val="5"/>
        </w:numPr>
      </w:pPr>
      <w:r>
        <w:lastRenderedPageBreak/>
        <w:t xml:space="preserve">Brown </w:t>
      </w:r>
      <w:hyperlink r:id="rId15" w:history="1">
        <w:r w:rsidRPr="00B66E1E">
          <w:rPr>
            <w:rStyle w:val="Hyperlink"/>
          </w:rPr>
          <w:t xml:space="preserve">Counseling and Psychological </w:t>
        </w:r>
        <w:r>
          <w:rPr>
            <w:rStyle w:val="Hyperlink"/>
          </w:rPr>
          <w:t>S</w:t>
        </w:r>
        <w:r w:rsidRPr="00B66E1E">
          <w:rPr>
            <w:rStyle w:val="Hyperlink"/>
          </w:rPr>
          <w:t>ervices</w:t>
        </w:r>
      </w:hyperlink>
      <w:r>
        <w:t xml:space="preserve"> (CAPS) offers a range of mental health and prevention services in an inclusive, compassionate, affirming and socially just environment. </w:t>
      </w:r>
    </w:p>
    <w:p w14:paraId="73ABF758" w14:textId="77777777" w:rsidR="001F44EB" w:rsidRPr="005F3225" w:rsidRDefault="001F44EB" w:rsidP="001F44EB">
      <w:pPr>
        <w:pStyle w:val="ListParagraph"/>
        <w:ind w:left="2160"/>
      </w:pPr>
    </w:p>
    <w:p w14:paraId="273CD24C" w14:textId="64D94988" w:rsidR="001F44EB" w:rsidRDefault="001F44EB" w:rsidP="001F44EB">
      <w:pPr>
        <w:rPr>
          <w:b/>
        </w:rPr>
      </w:pPr>
      <w:r w:rsidRPr="005F3225">
        <w:rPr>
          <w:b/>
        </w:rPr>
        <w:t xml:space="preserve">Schedule: </w:t>
      </w:r>
    </w:p>
    <w:p w14:paraId="7EE6DBAA" w14:textId="77777777" w:rsidR="00D26974" w:rsidRDefault="00D26974" w:rsidP="001F44EB">
      <w:pPr>
        <w:rPr>
          <w:b/>
        </w:rPr>
      </w:pPr>
    </w:p>
    <w:p w14:paraId="635C73AA" w14:textId="77777777" w:rsidR="001F44EB" w:rsidRPr="00531F24" w:rsidRDefault="001F44EB" w:rsidP="001F44EB">
      <w:pPr>
        <w:rPr>
          <w:bCs/>
          <w:i/>
          <w:iCs/>
        </w:rPr>
      </w:pPr>
      <w:r w:rsidRPr="00531F24">
        <w:rPr>
          <w:bCs/>
          <w:i/>
          <w:iCs/>
        </w:rPr>
        <w:t>Section 1: Surveys</w:t>
      </w:r>
    </w:p>
    <w:p w14:paraId="6CCE3A97" w14:textId="77777777" w:rsidR="001F44EB" w:rsidRPr="00531F24" w:rsidRDefault="001F44EB" w:rsidP="001F44EB">
      <w:pPr>
        <w:rPr>
          <w:bCs/>
        </w:rPr>
      </w:pPr>
    </w:p>
    <w:p w14:paraId="3EAA9A08" w14:textId="77777777" w:rsidR="001F44EB" w:rsidRPr="00A05136" w:rsidRDefault="001F44EB" w:rsidP="001F44EB">
      <w:pPr>
        <w:pStyle w:val="ListParagraph"/>
        <w:numPr>
          <w:ilvl w:val="0"/>
          <w:numId w:val="4"/>
        </w:numPr>
        <w:rPr>
          <w:bCs/>
        </w:rPr>
      </w:pPr>
      <w:r w:rsidRPr="00A05136">
        <w:rPr>
          <w:bCs/>
        </w:rPr>
        <w:t>Week 1: Why use surveys?</w:t>
      </w:r>
    </w:p>
    <w:p w14:paraId="31E40364" w14:textId="77777777" w:rsidR="001F44EB" w:rsidRDefault="001F44EB" w:rsidP="001F44EB">
      <w:pPr>
        <w:pStyle w:val="ListParagraph"/>
        <w:rPr>
          <w:b/>
        </w:rPr>
      </w:pPr>
    </w:p>
    <w:p w14:paraId="1362EF0B" w14:textId="77777777" w:rsidR="001F44EB" w:rsidRDefault="001F44EB" w:rsidP="001F44EB">
      <w:pPr>
        <w:pStyle w:val="ListParagraph"/>
        <w:numPr>
          <w:ilvl w:val="1"/>
          <w:numId w:val="4"/>
        </w:numPr>
        <w:rPr>
          <w:bCs/>
        </w:rPr>
      </w:pPr>
      <w:r w:rsidRPr="00D95B02">
        <w:rPr>
          <w:bCs/>
        </w:rPr>
        <w:t>Groves, Chapter 1</w:t>
      </w:r>
    </w:p>
    <w:p w14:paraId="5579390F" w14:textId="77777777" w:rsidR="001F44EB" w:rsidRDefault="001F44EB" w:rsidP="001F44EB">
      <w:pPr>
        <w:pStyle w:val="ListParagraph"/>
        <w:numPr>
          <w:ilvl w:val="1"/>
          <w:numId w:val="4"/>
        </w:numPr>
      </w:pPr>
      <w:r>
        <w:t xml:space="preserve">Gaines, Brian J., James H. Kuklinski, and Paul J. Quirk. 2007. “The Logic of the Survey Experiment Reexamined.” </w:t>
      </w:r>
      <w:r w:rsidRPr="00D95B02">
        <w:rPr>
          <w:i/>
          <w:iCs/>
        </w:rPr>
        <w:t>Political Analysis</w:t>
      </w:r>
      <w:r>
        <w:t xml:space="preserve"> 15 (1): 1–20.</w:t>
      </w:r>
    </w:p>
    <w:p w14:paraId="268ED9E7" w14:textId="77777777" w:rsidR="001F44EB" w:rsidRPr="004B298A" w:rsidRDefault="001F44EB" w:rsidP="001F44EB">
      <w:pPr>
        <w:pStyle w:val="ListParagraph"/>
        <w:numPr>
          <w:ilvl w:val="1"/>
          <w:numId w:val="4"/>
        </w:numPr>
        <w:rPr>
          <w:lang w:val="es-ES"/>
        </w:rPr>
      </w:pPr>
      <w:r>
        <w:t xml:space="preserve">AAPOR. 2016. “An Evaluation of 2016 Election Polls in the U.S. - AAPOR.” </w:t>
      </w:r>
      <w:r w:rsidRPr="004B298A">
        <w:rPr>
          <w:lang w:val="es-ES"/>
        </w:rPr>
        <w:t xml:space="preserve">AAPOR. </w:t>
      </w:r>
      <w:hyperlink r:id="rId16" w:history="1">
        <w:r w:rsidRPr="004B298A">
          <w:rPr>
            <w:rStyle w:val="Hyperlink"/>
            <w:lang w:val="es-ES"/>
          </w:rPr>
          <w:t>https://www.aapor.org/Education-Resources/Reports/An-Evaluation-of-2016-Election-Polls-in-the-U-S.aspx</w:t>
        </w:r>
      </w:hyperlink>
      <w:r w:rsidRPr="004B298A">
        <w:rPr>
          <w:lang w:val="es-ES"/>
        </w:rPr>
        <w:t>.</w:t>
      </w:r>
    </w:p>
    <w:p w14:paraId="514A4A82" w14:textId="77777777" w:rsidR="001F44EB" w:rsidRPr="00461C69" w:rsidRDefault="001F44EB" w:rsidP="001F44EB">
      <w:pPr>
        <w:pStyle w:val="ListParagraph"/>
        <w:numPr>
          <w:ilvl w:val="1"/>
          <w:numId w:val="4"/>
        </w:numPr>
      </w:pPr>
      <w:proofErr w:type="spellStart"/>
      <w:r>
        <w:t>Lupu</w:t>
      </w:r>
      <w:proofErr w:type="spellEnd"/>
      <w:r>
        <w:t xml:space="preserve">, Noam, and Kristin </w:t>
      </w:r>
      <w:proofErr w:type="spellStart"/>
      <w:r>
        <w:t>Michelitch</w:t>
      </w:r>
      <w:proofErr w:type="spellEnd"/>
      <w:r>
        <w:t xml:space="preserve">. 2018. “Advances in Survey Methods for the Developing World.” </w:t>
      </w:r>
      <w:r w:rsidRPr="00461C69">
        <w:rPr>
          <w:i/>
          <w:iCs/>
        </w:rPr>
        <w:t>Annual Review of Political Science</w:t>
      </w:r>
      <w:r>
        <w:t xml:space="preserve"> 21 (1): 195–214. </w:t>
      </w:r>
    </w:p>
    <w:p w14:paraId="2A194408" w14:textId="77777777" w:rsidR="001F44EB" w:rsidRPr="00297667" w:rsidRDefault="001F44EB" w:rsidP="001F44EB">
      <w:pPr>
        <w:pStyle w:val="ListParagraph"/>
        <w:ind w:left="1440"/>
        <w:rPr>
          <w:bCs/>
          <w:lang w:val="es-ES"/>
        </w:rPr>
      </w:pPr>
    </w:p>
    <w:p w14:paraId="2653A27A" w14:textId="77777777" w:rsidR="001F44EB" w:rsidRPr="00A05136" w:rsidRDefault="001F44EB" w:rsidP="001F44EB">
      <w:pPr>
        <w:pStyle w:val="ListParagraph"/>
        <w:numPr>
          <w:ilvl w:val="0"/>
          <w:numId w:val="4"/>
        </w:numPr>
        <w:rPr>
          <w:bCs/>
        </w:rPr>
      </w:pPr>
      <w:r w:rsidRPr="00A05136">
        <w:rPr>
          <w:bCs/>
        </w:rPr>
        <w:t>Week 2: Survey Error</w:t>
      </w:r>
    </w:p>
    <w:p w14:paraId="718CE54E" w14:textId="77777777" w:rsidR="001F44EB" w:rsidRDefault="001F44EB" w:rsidP="001F44EB">
      <w:pPr>
        <w:pStyle w:val="ListParagraph"/>
        <w:rPr>
          <w:b/>
        </w:rPr>
      </w:pPr>
    </w:p>
    <w:p w14:paraId="4545CA03" w14:textId="77777777" w:rsidR="001F44EB" w:rsidRDefault="001F44EB" w:rsidP="001F44EB">
      <w:pPr>
        <w:pStyle w:val="ListParagraph"/>
        <w:numPr>
          <w:ilvl w:val="1"/>
          <w:numId w:val="4"/>
        </w:numPr>
        <w:rPr>
          <w:bCs/>
        </w:rPr>
      </w:pPr>
      <w:r w:rsidRPr="00D95B02">
        <w:rPr>
          <w:bCs/>
        </w:rPr>
        <w:t>Groves, Chapter 2</w:t>
      </w:r>
    </w:p>
    <w:p w14:paraId="2163A57D" w14:textId="77777777" w:rsidR="001F44EB" w:rsidRDefault="001F44EB" w:rsidP="001F44EB">
      <w:pPr>
        <w:pStyle w:val="ListParagraph"/>
        <w:numPr>
          <w:ilvl w:val="1"/>
          <w:numId w:val="4"/>
        </w:numPr>
      </w:pPr>
      <w:proofErr w:type="spellStart"/>
      <w:r>
        <w:t>Seligson</w:t>
      </w:r>
      <w:proofErr w:type="spellEnd"/>
      <w:r>
        <w:t xml:space="preserve">, Mitchell A. 2005. “Improving the Quality of Survey Research in Democratizing Countries.” </w:t>
      </w:r>
      <w:r w:rsidRPr="00713FA0">
        <w:rPr>
          <w:i/>
          <w:iCs/>
        </w:rPr>
        <w:t>PS: Political Science and Politics</w:t>
      </w:r>
      <w:r>
        <w:t xml:space="preserve"> 38 (1): 51–56.</w:t>
      </w:r>
    </w:p>
    <w:p w14:paraId="06D0826F" w14:textId="77777777" w:rsidR="001F44EB" w:rsidRDefault="001F44EB" w:rsidP="001F44EB">
      <w:pPr>
        <w:pStyle w:val="ListParagraph"/>
        <w:numPr>
          <w:ilvl w:val="1"/>
          <w:numId w:val="4"/>
        </w:numPr>
      </w:pPr>
      <w:r>
        <w:t xml:space="preserve">Groves, Robert M., and Lars </w:t>
      </w:r>
      <w:proofErr w:type="spellStart"/>
      <w:r>
        <w:t>Lyberg</w:t>
      </w:r>
      <w:proofErr w:type="spellEnd"/>
      <w:r>
        <w:t xml:space="preserve">. 2010. “Total Survey Error: Past, Present, and Future.” </w:t>
      </w:r>
      <w:r w:rsidRPr="00297667">
        <w:rPr>
          <w:i/>
          <w:iCs/>
        </w:rPr>
        <w:t>Public Opinion Quarterly</w:t>
      </w:r>
      <w:r>
        <w:t xml:space="preserve"> 74 (5): 849–79. </w:t>
      </w:r>
    </w:p>
    <w:p w14:paraId="08287D85" w14:textId="77777777" w:rsidR="001F44EB" w:rsidRDefault="001F44EB" w:rsidP="001F44EB">
      <w:pPr>
        <w:pStyle w:val="ListParagraph"/>
        <w:numPr>
          <w:ilvl w:val="1"/>
          <w:numId w:val="4"/>
        </w:numPr>
      </w:pPr>
      <w:proofErr w:type="spellStart"/>
      <w:r w:rsidRPr="008E7E09">
        <w:t>Ansolabehere</w:t>
      </w:r>
      <w:proofErr w:type="spellEnd"/>
      <w:r w:rsidRPr="008E7E09">
        <w:t xml:space="preserve">, Stephen, and Eitan Hersh. 2017. “Validation: What Big Data Reveal About Survey Misreporting and the Real Electorate.” </w:t>
      </w:r>
      <w:r w:rsidRPr="008E7E09">
        <w:rPr>
          <w:i/>
          <w:iCs/>
        </w:rPr>
        <w:t>Political Analysis</w:t>
      </w:r>
      <w:r w:rsidRPr="008E7E09">
        <w:t xml:space="preserve"> 20 (4): 437–59. </w:t>
      </w:r>
    </w:p>
    <w:p w14:paraId="14641CB4" w14:textId="77777777" w:rsidR="001F44EB" w:rsidRPr="00713FA0" w:rsidRDefault="001F44EB" w:rsidP="001F44EB">
      <w:pPr>
        <w:ind w:left="1080"/>
        <w:rPr>
          <w:bCs/>
        </w:rPr>
      </w:pPr>
    </w:p>
    <w:p w14:paraId="5FADE082" w14:textId="77777777" w:rsidR="001F44EB" w:rsidRPr="00A05136" w:rsidRDefault="001F44EB" w:rsidP="001F44EB">
      <w:pPr>
        <w:pStyle w:val="ListParagraph"/>
        <w:numPr>
          <w:ilvl w:val="0"/>
          <w:numId w:val="4"/>
        </w:numPr>
        <w:rPr>
          <w:bCs/>
        </w:rPr>
      </w:pPr>
      <w:r w:rsidRPr="00A05136">
        <w:rPr>
          <w:bCs/>
        </w:rPr>
        <w:t>Week 3: Sampling</w:t>
      </w:r>
    </w:p>
    <w:p w14:paraId="2C8AC121" w14:textId="77777777" w:rsidR="001F44EB" w:rsidRDefault="001F44EB" w:rsidP="001F44EB">
      <w:pPr>
        <w:pStyle w:val="ListParagraph"/>
        <w:rPr>
          <w:b/>
        </w:rPr>
      </w:pPr>
    </w:p>
    <w:p w14:paraId="621FEA06" w14:textId="77777777" w:rsidR="001F44EB" w:rsidRDefault="001F44EB" w:rsidP="001F44EB">
      <w:pPr>
        <w:pStyle w:val="ListParagraph"/>
        <w:numPr>
          <w:ilvl w:val="1"/>
          <w:numId w:val="4"/>
        </w:numPr>
        <w:rPr>
          <w:bCs/>
        </w:rPr>
      </w:pPr>
      <w:r w:rsidRPr="00D95B02">
        <w:rPr>
          <w:bCs/>
        </w:rPr>
        <w:t>Groves, Chapters 3 &amp; 4</w:t>
      </w:r>
    </w:p>
    <w:p w14:paraId="7D61DC9D" w14:textId="77777777" w:rsidR="001F44EB" w:rsidRDefault="001F44EB" w:rsidP="001F44EB">
      <w:pPr>
        <w:pStyle w:val="ListParagraph"/>
        <w:numPr>
          <w:ilvl w:val="1"/>
          <w:numId w:val="4"/>
        </w:numPr>
      </w:pPr>
      <w:proofErr w:type="spellStart"/>
      <w:r>
        <w:t>Mullinix</w:t>
      </w:r>
      <w:proofErr w:type="spellEnd"/>
      <w:r>
        <w:t xml:space="preserve">, Kevin J., Thomas J. Leeper, James N. </w:t>
      </w:r>
      <w:proofErr w:type="spellStart"/>
      <w:r>
        <w:t>Druckman</w:t>
      </w:r>
      <w:proofErr w:type="spellEnd"/>
      <w:r>
        <w:t xml:space="preserve">, and Jeremy Freese. 2015. “The Generalizability of Survey Experiments.” </w:t>
      </w:r>
      <w:r w:rsidRPr="00713FA0">
        <w:rPr>
          <w:i/>
          <w:iCs/>
        </w:rPr>
        <w:t>Journal of Experimental Political Science</w:t>
      </w:r>
      <w:r>
        <w:t xml:space="preserve"> 2 (2): 109–38. </w:t>
      </w:r>
    </w:p>
    <w:p w14:paraId="2E597D94" w14:textId="77777777" w:rsidR="001F44EB" w:rsidRDefault="001F44EB" w:rsidP="001F44EB">
      <w:pPr>
        <w:pStyle w:val="ListParagraph"/>
        <w:numPr>
          <w:ilvl w:val="1"/>
          <w:numId w:val="4"/>
        </w:numPr>
      </w:pPr>
      <w:r>
        <w:t xml:space="preserve">Yeager, David S., Jon A. Krosnick, </w:t>
      </w:r>
      <w:proofErr w:type="spellStart"/>
      <w:r>
        <w:t>LinChiat</w:t>
      </w:r>
      <w:proofErr w:type="spellEnd"/>
      <w:r>
        <w:t xml:space="preserve"> Chang, Harold S. </w:t>
      </w:r>
      <w:proofErr w:type="spellStart"/>
      <w:r>
        <w:t>Javitz</w:t>
      </w:r>
      <w:proofErr w:type="spellEnd"/>
      <w:r>
        <w:t xml:space="preserve">, Matthew S. </w:t>
      </w:r>
      <w:proofErr w:type="spellStart"/>
      <w:r>
        <w:t>Levendusky</w:t>
      </w:r>
      <w:proofErr w:type="spellEnd"/>
      <w:r>
        <w:t xml:space="preserve">, Alberto </w:t>
      </w:r>
      <w:proofErr w:type="spellStart"/>
      <w:r>
        <w:t>Simpser</w:t>
      </w:r>
      <w:proofErr w:type="spellEnd"/>
      <w:r>
        <w:t xml:space="preserve">, and Rui Wang. 2011. “Comparing the Accuracy of RDD Telephone Surveys and Internet Surveys Conducted with Probability and Non-Probability Samples.” </w:t>
      </w:r>
      <w:r w:rsidRPr="00713FA0">
        <w:rPr>
          <w:i/>
          <w:iCs/>
        </w:rPr>
        <w:t>Public Opinion Quarterly</w:t>
      </w:r>
      <w:r>
        <w:t xml:space="preserve"> 75 (4): 709–47. </w:t>
      </w:r>
    </w:p>
    <w:p w14:paraId="09ABADC8" w14:textId="36B7320E" w:rsidR="005A572D" w:rsidRDefault="005A572D" w:rsidP="001F44EB">
      <w:pPr>
        <w:pStyle w:val="ListParagraph"/>
        <w:numPr>
          <w:ilvl w:val="1"/>
          <w:numId w:val="4"/>
        </w:numPr>
      </w:pPr>
      <w:r>
        <w:t>Consider the sampling approaches of:</w:t>
      </w:r>
    </w:p>
    <w:p w14:paraId="3A336B10" w14:textId="1A3676D3" w:rsidR="001F44EB" w:rsidRDefault="001F44EB" w:rsidP="005A572D">
      <w:pPr>
        <w:pStyle w:val="ListParagraph"/>
        <w:numPr>
          <w:ilvl w:val="2"/>
          <w:numId w:val="4"/>
        </w:numPr>
      </w:pPr>
      <w:r>
        <w:t xml:space="preserve">Humphreys, </w:t>
      </w:r>
      <w:proofErr w:type="spellStart"/>
      <w:r>
        <w:t>Macartan</w:t>
      </w:r>
      <w:proofErr w:type="spellEnd"/>
      <w:r>
        <w:t xml:space="preserve">, and Jeremy M. Weinstein. 2008. “Who Fights? The Determinants of Participation in Civil War.” </w:t>
      </w:r>
      <w:r w:rsidRPr="00297667">
        <w:rPr>
          <w:i/>
          <w:iCs/>
        </w:rPr>
        <w:t>American Journal of Political Science</w:t>
      </w:r>
      <w:r>
        <w:t xml:space="preserve"> 52 (2): 436–55.</w:t>
      </w:r>
    </w:p>
    <w:p w14:paraId="57AD41B8" w14:textId="371C1369" w:rsidR="005A572D" w:rsidRPr="005A572D" w:rsidRDefault="005A572D" w:rsidP="005A572D">
      <w:pPr>
        <w:pStyle w:val="ListParagraph"/>
        <w:numPr>
          <w:ilvl w:val="2"/>
          <w:numId w:val="4"/>
        </w:numPr>
      </w:pPr>
      <w:r w:rsidRPr="005A572D">
        <w:lastRenderedPageBreak/>
        <w:t xml:space="preserve">Slack, Jeremy, Daniel E. Martínez, and Scott Whiteford. 2018. </w:t>
      </w:r>
      <w:r w:rsidRPr="005A572D">
        <w:rPr>
          <w:i/>
          <w:iCs/>
        </w:rPr>
        <w:t>The Shadow of the Wall: Violence and Migration on the U.S.-Mexico Border</w:t>
      </w:r>
      <w:r w:rsidRPr="005A572D">
        <w:t>. University of Arizona Press.</w:t>
      </w:r>
      <w:r>
        <w:t xml:space="preserve"> </w:t>
      </w:r>
      <w:r>
        <w:sym w:font="Wingdings" w:char="F0E0"/>
      </w:r>
      <w:r>
        <w:t xml:space="preserve"> Chapter 1: “Research Methods”</w:t>
      </w:r>
    </w:p>
    <w:p w14:paraId="638A5077" w14:textId="7F392FD9" w:rsidR="005A572D" w:rsidRDefault="005A572D" w:rsidP="005A572D">
      <w:pPr>
        <w:pStyle w:val="ListParagraph"/>
        <w:numPr>
          <w:ilvl w:val="2"/>
          <w:numId w:val="4"/>
        </w:numPr>
      </w:pPr>
      <w:proofErr w:type="spellStart"/>
      <w:r>
        <w:t>Vinck</w:t>
      </w:r>
      <w:proofErr w:type="spellEnd"/>
      <w:r>
        <w:t xml:space="preserve">, Patrick, Phuong N. Pham, Eric Stover, and Harvey M. Weinstein. 2007. “Exposure to War Crimes and Implications for Peace Building in Northern Uganda.” </w:t>
      </w:r>
      <w:r w:rsidRPr="005A572D">
        <w:rPr>
          <w:i/>
          <w:iCs/>
        </w:rPr>
        <w:t>JAMA</w:t>
      </w:r>
      <w:r>
        <w:t xml:space="preserve"> 298 (5): 543–54. </w:t>
      </w:r>
    </w:p>
    <w:p w14:paraId="2F7F7604" w14:textId="77777777" w:rsidR="005A572D" w:rsidRDefault="005A572D" w:rsidP="005A572D">
      <w:pPr>
        <w:pStyle w:val="ListParagraph"/>
        <w:numPr>
          <w:ilvl w:val="2"/>
          <w:numId w:val="4"/>
        </w:numPr>
      </w:pPr>
      <w:proofErr w:type="spellStart"/>
      <w:r>
        <w:t>Afrobarometer</w:t>
      </w:r>
      <w:proofErr w:type="spellEnd"/>
      <w:r>
        <w:t xml:space="preserve">. 2022. “Round 9 Survey Manual.” </w:t>
      </w:r>
      <w:proofErr w:type="spellStart"/>
      <w:r>
        <w:t>Afrobarometer</w:t>
      </w:r>
      <w:proofErr w:type="spellEnd"/>
      <w:r>
        <w:t xml:space="preserve">. </w:t>
      </w:r>
      <w:hyperlink r:id="rId17" w:history="1">
        <w:r>
          <w:rPr>
            <w:rStyle w:val="Hyperlink"/>
          </w:rPr>
          <w:t>https://www.afrobarometer.org/surveys-and-methods/</w:t>
        </w:r>
      </w:hyperlink>
      <w:r>
        <w:t>.</w:t>
      </w:r>
    </w:p>
    <w:p w14:paraId="619F058C" w14:textId="5DDFE034" w:rsidR="001F44EB" w:rsidRDefault="005A572D" w:rsidP="005A572D">
      <w:pPr>
        <w:pStyle w:val="ListParagraph"/>
        <w:numPr>
          <w:ilvl w:val="2"/>
          <w:numId w:val="4"/>
        </w:numPr>
      </w:pPr>
      <w:proofErr w:type="spellStart"/>
      <w:r>
        <w:t>DeBell</w:t>
      </w:r>
      <w:proofErr w:type="spellEnd"/>
      <w:r>
        <w:t>, Matthew</w:t>
      </w:r>
      <w:r w:rsidR="00A018E4">
        <w:t>,</w:t>
      </w:r>
      <w:r>
        <w:t xml:space="preserve"> Michelle </w:t>
      </w:r>
      <w:proofErr w:type="spellStart"/>
      <w:r>
        <w:t>Amsbary</w:t>
      </w:r>
      <w:proofErr w:type="spellEnd"/>
      <w:r w:rsidR="00A018E4">
        <w:t xml:space="preserve">, </w:t>
      </w:r>
      <w:r w:rsidR="000F62A5">
        <w:t xml:space="preserve">Ted Brader, Shelley Brock, Cindy Good, </w:t>
      </w:r>
      <w:proofErr w:type="spellStart"/>
      <w:r w:rsidR="000F62A5">
        <w:t>Justim</w:t>
      </w:r>
      <w:proofErr w:type="spellEnd"/>
      <w:r w:rsidR="000F62A5">
        <w:t xml:space="preserve"> </w:t>
      </w:r>
      <w:proofErr w:type="spellStart"/>
      <w:r w:rsidR="000F62A5">
        <w:t>Kamens</w:t>
      </w:r>
      <w:proofErr w:type="spellEnd"/>
      <w:r w:rsidR="000F62A5">
        <w:t xml:space="preserve">, Natalya Maisel, and Sarah Pinto. </w:t>
      </w:r>
      <w:r>
        <w:t>20</w:t>
      </w:r>
      <w:r w:rsidR="000F62A5">
        <w:t>22</w:t>
      </w:r>
      <w:r>
        <w:t>. “Methodology Report for the ANES 20</w:t>
      </w:r>
      <w:r w:rsidR="000F62A5">
        <w:t xml:space="preserve">20 </w:t>
      </w:r>
      <w:r>
        <w:t xml:space="preserve">Time Series Study.” American National Election Studies at the University of Michigan and Stanford University. </w:t>
      </w:r>
      <w:hyperlink r:id="rId18" w:history="1">
        <w:r w:rsidR="000F62A5" w:rsidRPr="00D95180">
          <w:rPr>
            <w:rStyle w:val="Hyperlink"/>
          </w:rPr>
          <w:t>https://electionstudies.org/wp-content/uploads/2022/08/anes_timeseries_2020_methodology_report.pdf</w:t>
        </w:r>
      </w:hyperlink>
      <w:r w:rsidR="000F62A5">
        <w:t xml:space="preserve">. </w:t>
      </w:r>
    </w:p>
    <w:p w14:paraId="0A538AE5" w14:textId="77777777" w:rsidR="005A572D" w:rsidRPr="005A572D" w:rsidRDefault="005A572D" w:rsidP="005A572D">
      <w:pPr>
        <w:pStyle w:val="ListParagraph"/>
        <w:ind w:left="2160"/>
      </w:pPr>
    </w:p>
    <w:p w14:paraId="2CA4C9AA" w14:textId="77777777" w:rsidR="001F44EB" w:rsidRPr="00A05136" w:rsidRDefault="001F44EB" w:rsidP="001F44EB">
      <w:pPr>
        <w:pStyle w:val="ListParagraph"/>
        <w:numPr>
          <w:ilvl w:val="0"/>
          <w:numId w:val="4"/>
        </w:numPr>
        <w:rPr>
          <w:bCs/>
        </w:rPr>
      </w:pPr>
      <w:r w:rsidRPr="00A05136">
        <w:rPr>
          <w:bCs/>
        </w:rPr>
        <w:t>Week 4: Questionnaire Design</w:t>
      </w:r>
    </w:p>
    <w:p w14:paraId="48D9579F" w14:textId="77777777" w:rsidR="001F44EB" w:rsidRDefault="001F44EB" w:rsidP="001F44EB">
      <w:pPr>
        <w:pStyle w:val="ListParagraph"/>
        <w:rPr>
          <w:b/>
        </w:rPr>
      </w:pPr>
    </w:p>
    <w:p w14:paraId="550358EF" w14:textId="77777777" w:rsidR="001F44EB" w:rsidRPr="0052156F" w:rsidRDefault="001F44EB" w:rsidP="001F44EB">
      <w:pPr>
        <w:pStyle w:val="ListParagraph"/>
        <w:numPr>
          <w:ilvl w:val="1"/>
          <w:numId w:val="4"/>
        </w:numPr>
        <w:rPr>
          <w:b/>
        </w:rPr>
      </w:pPr>
      <w:r>
        <w:rPr>
          <w:bCs/>
        </w:rPr>
        <w:t>Groves, Chapters 7 &amp; 8</w:t>
      </w:r>
    </w:p>
    <w:p w14:paraId="16DE6BF5" w14:textId="77777777" w:rsidR="001F44EB" w:rsidRDefault="001F44EB" w:rsidP="001F44EB">
      <w:pPr>
        <w:pStyle w:val="ListParagraph"/>
        <w:numPr>
          <w:ilvl w:val="1"/>
          <w:numId w:val="4"/>
        </w:numPr>
      </w:pPr>
      <w:r>
        <w:t xml:space="preserve">Smith, Tom W. 1987. “That Which We Call Welfare by Any Other Name Would Smell Sweeter: An Analysis of the Impact of Question Wording on Response Patterns.” </w:t>
      </w:r>
      <w:r w:rsidRPr="0052156F">
        <w:rPr>
          <w:i/>
          <w:iCs/>
        </w:rPr>
        <w:t>Public Opinion Quarterly</w:t>
      </w:r>
      <w:r>
        <w:t xml:space="preserve"> 51 (1): 75–83. </w:t>
      </w:r>
    </w:p>
    <w:p w14:paraId="6DE042E2" w14:textId="1D8300C2" w:rsidR="001F44EB" w:rsidRDefault="001F44EB" w:rsidP="001F44EB">
      <w:pPr>
        <w:pStyle w:val="ListParagraph"/>
        <w:numPr>
          <w:ilvl w:val="1"/>
          <w:numId w:val="4"/>
        </w:numPr>
      </w:pPr>
      <w:r>
        <w:t xml:space="preserve">Pérez, </w:t>
      </w:r>
      <w:proofErr w:type="spellStart"/>
      <w:r>
        <w:t>Efrén</w:t>
      </w:r>
      <w:proofErr w:type="spellEnd"/>
      <w:r>
        <w:t xml:space="preserve"> O. 2009. “Lost in Translation? Item Validity in Bilingual Political Surveys.” </w:t>
      </w:r>
      <w:r w:rsidRPr="0052156F">
        <w:rPr>
          <w:i/>
          <w:iCs/>
        </w:rPr>
        <w:t>The Journal of Politics</w:t>
      </w:r>
      <w:r>
        <w:t xml:space="preserve"> 71 (4): 1530–48. </w:t>
      </w:r>
    </w:p>
    <w:p w14:paraId="74EB43A4" w14:textId="62CA10AD" w:rsidR="00C45EDA" w:rsidRDefault="00C45EDA" w:rsidP="00C45EDA">
      <w:pPr>
        <w:pStyle w:val="ListParagraph"/>
        <w:numPr>
          <w:ilvl w:val="1"/>
          <w:numId w:val="4"/>
        </w:numPr>
      </w:pPr>
      <w:r>
        <w:t xml:space="preserve">Dafoe, Allan, </w:t>
      </w:r>
      <w:proofErr w:type="spellStart"/>
      <w:r>
        <w:t>Baobao</w:t>
      </w:r>
      <w:proofErr w:type="spellEnd"/>
      <w:r>
        <w:t xml:space="preserve"> Zhang, and Devin </w:t>
      </w:r>
      <w:proofErr w:type="spellStart"/>
      <w:r>
        <w:t>Caughey</w:t>
      </w:r>
      <w:proofErr w:type="spellEnd"/>
      <w:r>
        <w:t xml:space="preserve">. 2018. “Information Equivalence in Survey Experiments.” </w:t>
      </w:r>
      <w:r w:rsidRPr="00C45EDA">
        <w:rPr>
          <w:i/>
          <w:iCs/>
        </w:rPr>
        <w:t>Political Analysis</w:t>
      </w:r>
      <w:r>
        <w:t xml:space="preserve"> 26(4): 399–416.</w:t>
      </w:r>
    </w:p>
    <w:p w14:paraId="7CEE95EF" w14:textId="1ABBAB40" w:rsidR="00716210" w:rsidRDefault="00716210" w:rsidP="00716210">
      <w:pPr>
        <w:pStyle w:val="ListParagraph"/>
        <w:numPr>
          <w:ilvl w:val="1"/>
          <w:numId w:val="4"/>
        </w:numPr>
      </w:pPr>
      <w:r>
        <w:t xml:space="preserve">Montgomery, Jacob M., Brendan </w:t>
      </w:r>
      <w:proofErr w:type="spellStart"/>
      <w:r>
        <w:t>Nyhan</w:t>
      </w:r>
      <w:proofErr w:type="spellEnd"/>
      <w:r>
        <w:t xml:space="preserve">, and Michelle Torres. 2018. “How Conditioning on Posttreatment Variables Can Ruin Your Experiment and What to Do about It.” </w:t>
      </w:r>
      <w:r w:rsidRPr="000F62A5">
        <w:rPr>
          <w:i/>
          <w:iCs/>
        </w:rPr>
        <w:t>American Journal of Political Science</w:t>
      </w:r>
      <w:r>
        <w:t xml:space="preserve"> 62(3): 760–75.</w:t>
      </w:r>
    </w:p>
    <w:p w14:paraId="4F72D0BC" w14:textId="77777777" w:rsidR="001F44EB" w:rsidRPr="0052156F" w:rsidRDefault="001F44EB" w:rsidP="001F44EB">
      <w:pPr>
        <w:ind w:left="1080"/>
        <w:rPr>
          <w:b/>
        </w:rPr>
      </w:pPr>
    </w:p>
    <w:p w14:paraId="02BEA739" w14:textId="77777777" w:rsidR="001F44EB" w:rsidRPr="00A05136" w:rsidRDefault="001F44EB" w:rsidP="001F44EB">
      <w:pPr>
        <w:pStyle w:val="ListParagraph"/>
        <w:numPr>
          <w:ilvl w:val="0"/>
          <w:numId w:val="4"/>
        </w:numPr>
        <w:rPr>
          <w:bCs/>
        </w:rPr>
      </w:pPr>
      <w:r w:rsidRPr="00A05136">
        <w:rPr>
          <w:bCs/>
        </w:rPr>
        <w:t>Week 5: Survey Mode</w:t>
      </w:r>
    </w:p>
    <w:p w14:paraId="6721F0E6" w14:textId="77777777" w:rsidR="001F44EB" w:rsidRDefault="001F44EB" w:rsidP="001F44EB">
      <w:pPr>
        <w:pStyle w:val="ListParagraph"/>
        <w:rPr>
          <w:b/>
        </w:rPr>
      </w:pPr>
    </w:p>
    <w:p w14:paraId="1C23946E" w14:textId="77777777" w:rsidR="001F44EB" w:rsidRDefault="001F44EB" w:rsidP="001F44EB">
      <w:pPr>
        <w:pStyle w:val="ListParagraph"/>
        <w:numPr>
          <w:ilvl w:val="1"/>
          <w:numId w:val="4"/>
        </w:numPr>
        <w:rPr>
          <w:bCs/>
        </w:rPr>
      </w:pPr>
      <w:r w:rsidRPr="00D95B02">
        <w:rPr>
          <w:bCs/>
        </w:rPr>
        <w:t xml:space="preserve">Groves, </w:t>
      </w:r>
      <w:r>
        <w:rPr>
          <w:bCs/>
        </w:rPr>
        <w:t>Chapter 5</w:t>
      </w:r>
    </w:p>
    <w:p w14:paraId="1C020785" w14:textId="77777777" w:rsidR="001F44EB" w:rsidRDefault="001F44EB" w:rsidP="001F44EB">
      <w:pPr>
        <w:pStyle w:val="ListParagraph"/>
        <w:numPr>
          <w:ilvl w:val="1"/>
          <w:numId w:val="4"/>
        </w:numPr>
      </w:pPr>
      <w:r>
        <w:t xml:space="preserve">Coppock, Alexander. 2019. “Generalizing from Survey Experiments Conducted on Mechanical Turk: A Replication Approach.” </w:t>
      </w:r>
      <w:r w:rsidRPr="0052156F">
        <w:rPr>
          <w:i/>
          <w:iCs/>
        </w:rPr>
        <w:t>Political Science Research and Methods</w:t>
      </w:r>
      <w:r>
        <w:t xml:space="preserve"> 7 (3): 613–28. </w:t>
      </w:r>
    </w:p>
    <w:p w14:paraId="14E73EB4" w14:textId="77777777" w:rsidR="001F44EB" w:rsidRDefault="001F44EB" w:rsidP="001F44EB">
      <w:pPr>
        <w:pStyle w:val="ListParagraph"/>
        <w:numPr>
          <w:ilvl w:val="1"/>
          <w:numId w:val="4"/>
        </w:numPr>
      </w:pPr>
      <w:proofErr w:type="spellStart"/>
      <w:r>
        <w:t>Keeter</w:t>
      </w:r>
      <w:proofErr w:type="spellEnd"/>
      <w:r>
        <w:t xml:space="preserve">, Scott, Courtney Kennedy, Michael Dimock, Jonathan Best, and Peyton </w:t>
      </w:r>
      <w:proofErr w:type="spellStart"/>
      <w:r>
        <w:t>Craighill</w:t>
      </w:r>
      <w:proofErr w:type="spellEnd"/>
      <w:r>
        <w:t xml:space="preserve">. 2006. “Gauging the Impact of Growing Nonresponse on Estimates from a National RDD Telephone Survey.” </w:t>
      </w:r>
      <w:r w:rsidRPr="0052156F">
        <w:rPr>
          <w:i/>
          <w:iCs/>
        </w:rPr>
        <w:t>Public Opinion Quarterly</w:t>
      </w:r>
      <w:r>
        <w:t xml:space="preserve"> 70 (5): 759–79. </w:t>
      </w:r>
    </w:p>
    <w:p w14:paraId="065D3A83" w14:textId="77777777" w:rsidR="001F44EB" w:rsidRPr="00461C69" w:rsidRDefault="001F44EB" w:rsidP="001F44EB">
      <w:pPr>
        <w:pStyle w:val="ListParagraph"/>
        <w:numPr>
          <w:ilvl w:val="1"/>
          <w:numId w:val="4"/>
        </w:numPr>
        <w:rPr>
          <w:bCs/>
        </w:rPr>
      </w:pPr>
      <w:r>
        <w:t xml:space="preserve">Bush, Sarah </w:t>
      </w:r>
      <w:proofErr w:type="spellStart"/>
      <w:r>
        <w:t>Sunn</w:t>
      </w:r>
      <w:proofErr w:type="spellEnd"/>
      <w:r>
        <w:t xml:space="preserve">, and Lauren Prather. 2019. “Do Electronic Devices in Face-to-Face Interviews Change Survey Behavior? Evidence from a Developing Country.” </w:t>
      </w:r>
      <w:r w:rsidRPr="00461C69">
        <w:rPr>
          <w:i/>
          <w:iCs/>
        </w:rPr>
        <w:t>Research &amp; Politics</w:t>
      </w:r>
      <w:r>
        <w:t xml:space="preserve"> 6 (2): 1-7</w:t>
      </w:r>
    </w:p>
    <w:p w14:paraId="419A7321" w14:textId="77777777" w:rsidR="001F44EB" w:rsidRPr="00941250" w:rsidRDefault="001F44EB" w:rsidP="001F44EB">
      <w:pPr>
        <w:ind w:left="1080"/>
        <w:rPr>
          <w:bCs/>
        </w:rPr>
      </w:pPr>
    </w:p>
    <w:p w14:paraId="5D3F9406" w14:textId="77777777" w:rsidR="001F44EB" w:rsidRPr="00A05136" w:rsidRDefault="001F44EB" w:rsidP="001F44EB">
      <w:pPr>
        <w:pStyle w:val="ListParagraph"/>
        <w:numPr>
          <w:ilvl w:val="0"/>
          <w:numId w:val="4"/>
        </w:numPr>
        <w:rPr>
          <w:bCs/>
        </w:rPr>
      </w:pPr>
      <w:r w:rsidRPr="00A05136">
        <w:rPr>
          <w:bCs/>
        </w:rPr>
        <w:t>Week 6: Dealing with Data</w:t>
      </w:r>
      <w:r>
        <w:rPr>
          <w:bCs/>
        </w:rPr>
        <w:t xml:space="preserve"> (</w:t>
      </w:r>
      <w:r w:rsidRPr="00A05136">
        <w:rPr>
          <w:b/>
        </w:rPr>
        <w:t>note: replication due</w:t>
      </w:r>
      <w:r>
        <w:rPr>
          <w:bCs/>
        </w:rPr>
        <w:t>)</w:t>
      </w:r>
    </w:p>
    <w:p w14:paraId="6B1E9E9E" w14:textId="77777777" w:rsidR="001F44EB" w:rsidRDefault="001F44EB" w:rsidP="001F44EB">
      <w:pPr>
        <w:pStyle w:val="ListParagraph"/>
        <w:rPr>
          <w:b/>
        </w:rPr>
      </w:pPr>
    </w:p>
    <w:p w14:paraId="10B7F795" w14:textId="77777777" w:rsidR="001F44EB" w:rsidRPr="00941250" w:rsidRDefault="001F44EB" w:rsidP="001F44EB">
      <w:pPr>
        <w:pStyle w:val="ListParagraph"/>
        <w:numPr>
          <w:ilvl w:val="1"/>
          <w:numId w:val="4"/>
        </w:numPr>
        <w:rPr>
          <w:b/>
        </w:rPr>
      </w:pPr>
      <w:r>
        <w:rPr>
          <w:bCs/>
        </w:rPr>
        <w:t>Groves, Chapters 6 and 10</w:t>
      </w:r>
    </w:p>
    <w:p w14:paraId="7CA1BD0E" w14:textId="77777777" w:rsidR="001F44EB" w:rsidRDefault="001F44EB" w:rsidP="001F44EB">
      <w:pPr>
        <w:pStyle w:val="ListParagraph"/>
        <w:numPr>
          <w:ilvl w:val="1"/>
          <w:numId w:val="4"/>
        </w:numPr>
      </w:pPr>
      <w:proofErr w:type="spellStart"/>
      <w:r>
        <w:lastRenderedPageBreak/>
        <w:t>Lall</w:t>
      </w:r>
      <w:proofErr w:type="spellEnd"/>
      <w:r>
        <w:t xml:space="preserve">, Ranjit. 2016. “How Multiple Imputation Makes a Difference.” </w:t>
      </w:r>
      <w:r w:rsidRPr="00941250">
        <w:rPr>
          <w:i/>
          <w:iCs/>
        </w:rPr>
        <w:t>Political Analysis</w:t>
      </w:r>
      <w:r>
        <w:t xml:space="preserve"> 24 (4): 414–33. </w:t>
      </w:r>
    </w:p>
    <w:p w14:paraId="63DECF8C" w14:textId="77777777" w:rsidR="001F44EB" w:rsidRDefault="001F44EB" w:rsidP="001F44EB">
      <w:pPr>
        <w:pStyle w:val="ListParagraph"/>
        <w:numPr>
          <w:ilvl w:val="1"/>
          <w:numId w:val="4"/>
        </w:numPr>
      </w:pPr>
      <w:proofErr w:type="spellStart"/>
      <w:r>
        <w:t>Miratrix</w:t>
      </w:r>
      <w:proofErr w:type="spellEnd"/>
      <w:r>
        <w:t xml:space="preserve">, Luke W., </w:t>
      </w:r>
      <w:proofErr w:type="spellStart"/>
      <w:r>
        <w:t>Jasjeet</w:t>
      </w:r>
      <w:proofErr w:type="spellEnd"/>
      <w:r>
        <w:t xml:space="preserve"> S. </w:t>
      </w:r>
      <w:proofErr w:type="spellStart"/>
      <w:r>
        <w:t>Sekhon</w:t>
      </w:r>
      <w:proofErr w:type="spellEnd"/>
      <w:r>
        <w:t xml:space="preserve">, Alexander G. Theodoridis, and Luis F. Campos. 2018. “Worth Weighting? How to Think About and Use Weights in Survey Experiments.” </w:t>
      </w:r>
      <w:r w:rsidRPr="00941250">
        <w:rPr>
          <w:i/>
          <w:iCs/>
        </w:rPr>
        <w:t>Political Analysis</w:t>
      </w:r>
      <w:r>
        <w:t xml:space="preserve"> 26 (3): 275–91. </w:t>
      </w:r>
    </w:p>
    <w:p w14:paraId="4976F38C" w14:textId="2A265B9A" w:rsidR="000F62A5" w:rsidRDefault="000F62A5" w:rsidP="000F62A5">
      <w:pPr>
        <w:pStyle w:val="ListParagraph"/>
        <w:numPr>
          <w:ilvl w:val="1"/>
          <w:numId w:val="4"/>
        </w:numPr>
      </w:pPr>
      <w:r>
        <w:t xml:space="preserve">Abadie, Alberto, Susan </w:t>
      </w:r>
      <w:proofErr w:type="spellStart"/>
      <w:r>
        <w:t>Athey</w:t>
      </w:r>
      <w:proofErr w:type="spellEnd"/>
      <w:r>
        <w:t xml:space="preserve">, Guido W </w:t>
      </w:r>
      <w:proofErr w:type="spellStart"/>
      <w:r>
        <w:t>Imbens</w:t>
      </w:r>
      <w:proofErr w:type="spellEnd"/>
      <w:r>
        <w:t>, and Jeffrey M Wooldridge. 202</w:t>
      </w:r>
      <w:r>
        <w:t>3</w:t>
      </w:r>
      <w:r>
        <w:t xml:space="preserve">. “When Should You Adjust Standard Errors for Clustering?” </w:t>
      </w:r>
      <w:r w:rsidRPr="000F62A5">
        <w:rPr>
          <w:i/>
          <w:iCs/>
        </w:rPr>
        <w:t>The Quarterly Journal of Economics</w:t>
      </w:r>
      <w:r>
        <w:t xml:space="preserve"> 138(1): 1-35. </w:t>
      </w:r>
    </w:p>
    <w:p w14:paraId="5B10F19F" w14:textId="77777777" w:rsidR="001F44EB" w:rsidRPr="00531F24" w:rsidRDefault="001F44EB" w:rsidP="001F44EB">
      <w:pPr>
        <w:pStyle w:val="ListParagraph"/>
        <w:ind w:left="1440"/>
        <w:rPr>
          <w:b/>
        </w:rPr>
      </w:pPr>
    </w:p>
    <w:p w14:paraId="34124B16" w14:textId="77777777" w:rsidR="001F44EB" w:rsidRPr="00531F24" w:rsidRDefault="001F44EB" w:rsidP="001F44EB">
      <w:pPr>
        <w:rPr>
          <w:bCs/>
          <w:i/>
          <w:iCs/>
        </w:rPr>
      </w:pPr>
      <w:r w:rsidRPr="00531F24">
        <w:rPr>
          <w:bCs/>
          <w:i/>
          <w:iCs/>
        </w:rPr>
        <w:t>Section 2: Survey Experiments</w:t>
      </w:r>
    </w:p>
    <w:p w14:paraId="3CD75B2A" w14:textId="77777777" w:rsidR="001F44EB" w:rsidRPr="00531F24" w:rsidRDefault="001F44EB" w:rsidP="001F44EB">
      <w:pPr>
        <w:rPr>
          <w:b/>
        </w:rPr>
      </w:pPr>
    </w:p>
    <w:p w14:paraId="2CD141BC" w14:textId="77777777" w:rsidR="001F44EB" w:rsidRPr="00A05136" w:rsidRDefault="001F44EB" w:rsidP="001F44EB">
      <w:pPr>
        <w:pStyle w:val="ListParagraph"/>
        <w:numPr>
          <w:ilvl w:val="0"/>
          <w:numId w:val="4"/>
        </w:numPr>
        <w:rPr>
          <w:bCs/>
        </w:rPr>
      </w:pPr>
      <w:r w:rsidRPr="00A05136">
        <w:rPr>
          <w:bCs/>
        </w:rPr>
        <w:t>Week 7: Framing &amp; Priming</w:t>
      </w:r>
    </w:p>
    <w:p w14:paraId="72D39D37" w14:textId="77777777" w:rsidR="001F44EB" w:rsidRDefault="001F44EB" w:rsidP="001F44EB">
      <w:pPr>
        <w:pStyle w:val="ListParagraph"/>
        <w:rPr>
          <w:b/>
        </w:rPr>
      </w:pPr>
    </w:p>
    <w:p w14:paraId="35CBEB1C" w14:textId="7E664BD1" w:rsidR="008A2944" w:rsidRDefault="008A2944" w:rsidP="008A2944">
      <w:pPr>
        <w:pStyle w:val="ListParagraph"/>
        <w:numPr>
          <w:ilvl w:val="1"/>
          <w:numId w:val="4"/>
        </w:numPr>
      </w:pPr>
      <w:r w:rsidRPr="008A2944">
        <w:t xml:space="preserve">Hartman, Todd K., and Christopher R. Weber. 2009. “Who Said What? The Effects of Source Cues in Issue Frames.” </w:t>
      </w:r>
      <w:r w:rsidRPr="008A2944">
        <w:rPr>
          <w:i/>
          <w:iCs/>
        </w:rPr>
        <w:t>Political Behavior</w:t>
      </w:r>
      <w:r w:rsidRPr="008A2944">
        <w:t xml:space="preserve"> 31 (4): 537–58. </w:t>
      </w:r>
    </w:p>
    <w:p w14:paraId="1BD2CD12" w14:textId="77777777" w:rsidR="001F44EB" w:rsidRDefault="001F44EB" w:rsidP="001F44EB">
      <w:pPr>
        <w:pStyle w:val="ListParagraph"/>
        <w:numPr>
          <w:ilvl w:val="1"/>
          <w:numId w:val="4"/>
        </w:numPr>
      </w:pPr>
      <w:r>
        <w:t xml:space="preserve">Lenz, Gabriel S. 2009. “Learning and Opinion Change, Not Priming: Reconsidering the Priming Hypothesis.” </w:t>
      </w:r>
      <w:r w:rsidRPr="00713FA0">
        <w:rPr>
          <w:i/>
          <w:iCs/>
        </w:rPr>
        <w:t>American Journal of Political Science</w:t>
      </w:r>
      <w:r>
        <w:t xml:space="preserve"> 53 (4): 821–37. </w:t>
      </w:r>
    </w:p>
    <w:p w14:paraId="0111E324" w14:textId="77777777" w:rsidR="001F44EB" w:rsidRDefault="001F44EB" w:rsidP="001F44EB">
      <w:pPr>
        <w:pStyle w:val="ListParagraph"/>
        <w:numPr>
          <w:ilvl w:val="1"/>
          <w:numId w:val="4"/>
        </w:numPr>
      </w:pPr>
      <w:r>
        <w:t xml:space="preserve">Chong, Dennis, and James N. </w:t>
      </w:r>
      <w:proofErr w:type="spellStart"/>
      <w:r>
        <w:t>Druckman</w:t>
      </w:r>
      <w:proofErr w:type="spellEnd"/>
      <w:r>
        <w:t>. 2013. “</w:t>
      </w:r>
      <w:proofErr w:type="spellStart"/>
      <w:r>
        <w:t>Counterframing</w:t>
      </w:r>
      <w:proofErr w:type="spellEnd"/>
      <w:r>
        <w:t xml:space="preserve"> Effects.” </w:t>
      </w:r>
      <w:r w:rsidRPr="00AC14F5">
        <w:rPr>
          <w:i/>
          <w:iCs/>
        </w:rPr>
        <w:t>The Journal of Politics</w:t>
      </w:r>
      <w:r>
        <w:t xml:space="preserve"> 75 (1): 1–16. </w:t>
      </w:r>
    </w:p>
    <w:p w14:paraId="26438704" w14:textId="400BF67A" w:rsidR="001F44EB" w:rsidRDefault="009469E1" w:rsidP="001F44EB">
      <w:pPr>
        <w:pStyle w:val="ListParagraph"/>
        <w:numPr>
          <w:ilvl w:val="1"/>
          <w:numId w:val="4"/>
        </w:numPr>
      </w:pPr>
      <w:r>
        <w:t>Bring an example of a paper</w:t>
      </w:r>
      <w:r w:rsidR="00C5615C">
        <w:t xml:space="preserve"> with a relevant experiment</w:t>
      </w:r>
      <w:r>
        <w:t xml:space="preserve">; be prepared to provide a 2-minute summary </w:t>
      </w:r>
    </w:p>
    <w:p w14:paraId="079F5B02" w14:textId="77777777" w:rsidR="001F44EB" w:rsidRPr="00713FA0" w:rsidRDefault="001F44EB" w:rsidP="001F44EB">
      <w:pPr>
        <w:ind w:left="1080"/>
        <w:rPr>
          <w:b/>
        </w:rPr>
      </w:pPr>
    </w:p>
    <w:p w14:paraId="0772FD56" w14:textId="77777777" w:rsidR="001F44EB" w:rsidRPr="00A05136" w:rsidRDefault="001F44EB" w:rsidP="001F44EB">
      <w:pPr>
        <w:pStyle w:val="ListParagraph"/>
        <w:numPr>
          <w:ilvl w:val="0"/>
          <w:numId w:val="4"/>
        </w:numPr>
        <w:rPr>
          <w:bCs/>
        </w:rPr>
      </w:pPr>
      <w:r w:rsidRPr="00A05136">
        <w:rPr>
          <w:bCs/>
        </w:rPr>
        <w:t>Week 8: Factorial and Vignette Experiments</w:t>
      </w:r>
    </w:p>
    <w:p w14:paraId="616D7E68" w14:textId="77777777" w:rsidR="001F44EB" w:rsidRDefault="001F44EB" w:rsidP="001F44EB">
      <w:pPr>
        <w:pStyle w:val="ListParagraph"/>
        <w:rPr>
          <w:b/>
        </w:rPr>
      </w:pPr>
    </w:p>
    <w:p w14:paraId="7B042DCA" w14:textId="77777777" w:rsidR="000F62A5" w:rsidRDefault="000F62A5" w:rsidP="000F62A5">
      <w:pPr>
        <w:pStyle w:val="ListParagraph"/>
        <w:numPr>
          <w:ilvl w:val="1"/>
          <w:numId w:val="4"/>
        </w:numPr>
      </w:pPr>
      <w:proofErr w:type="spellStart"/>
      <w:r>
        <w:t>Hainmueller</w:t>
      </w:r>
      <w:proofErr w:type="spellEnd"/>
      <w:r>
        <w:t xml:space="preserve">, Jens, Daniel J. Hopkins, and </w:t>
      </w:r>
      <w:proofErr w:type="spellStart"/>
      <w:r>
        <w:t>Teppei</w:t>
      </w:r>
      <w:proofErr w:type="spellEnd"/>
      <w:r>
        <w:t xml:space="preserve"> Yamamoto. 2014. “Causal Inference in Conjoint Analysis: Understanding Multidimensional Choices via Stated Preference Experiments.” </w:t>
      </w:r>
      <w:r w:rsidRPr="000F62A5">
        <w:rPr>
          <w:i/>
          <w:iCs/>
        </w:rPr>
        <w:t>Political Analysis</w:t>
      </w:r>
      <w:r>
        <w:t xml:space="preserve"> 22(01): 1–30.</w:t>
      </w:r>
    </w:p>
    <w:p w14:paraId="340A6E95" w14:textId="56BE5EF7" w:rsidR="001F44EB" w:rsidRDefault="001F44EB" w:rsidP="001F44EB">
      <w:pPr>
        <w:pStyle w:val="ListParagraph"/>
        <w:numPr>
          <w:ilvl w:val="1"/>
          <w:numId w:val="4"/>
        </w:numPr>
      </w:pPr>
      <w:proofErr w:type="spellStart"/>
      <w:r>
        <w:t>Barabas</w:t>
      </w:r>
      <w:proofErr w:type="spellEnd"/>
      <w:r>
        <w:t xml:space="preserve">, Jason and Jennifer </w:t>
      </w:r>
      <w:proofErr w:type="spellStart"/>
      <w:r>
        <w:t>Jerit</w:t>
      </w:r>
      <w:proofErr w:type="spellEnd"/>
      <w:r>
        <w:t xml:space="preserve">. 2010. “Are Survey Experiments Externally Valid?” </w:t>
      </w:r>
      <w:r w:rsidRPr="0052156F">
        <w:rPr>
          <w:i/>
          <w:iCs/>
        </w:rPr>
        <w:t>The American Political Science Review</w:t>
      </w:r>
      <w:r>
        <w:t xml:space="preserve"> 104 (2): 226–42.</w:t>
      </w:r>
    </w:p>
    <w:p w14:paraId="604E1853" w14:textId="023FBDAB" w:rsidR="0085472D" w:rsidRDefault="0085472D" w:rsidP="0085472D">
      <w:pPr>
        <w:pStyle w:val="ListParagraph"/>
        <w:numPr>
          <w:ilvl w:val="1"/>
          <w:numId w:val="4"/>
        </w:numPr>
      </w:pPr>
      <w:r>
        <w:t xml:space="preserve">Acharya, </w:t>
      </w:r>
      <w:proofErr w:type="spellStart"/>
      <w:r>
        <w:t>Avidit</w:t>
      </w:r>
      <w:proofErr w:type="spellEnd"/>
      <w:r>
        <w:t xml:space="preserve">, Matthew Blackwell, and Maya Sen. 2018. “Analyzing Causal Mechanisms in Survey Experiments.” </w:t>
      </w:r>
      <w:r w:rsidRPr="0085472D">
        <w:rPr>
          <w:i/>
          <w:iCs/>
        </w:rPr>
        <w:t>Political Analysis</w:t>
      </w:r>
      <w:r>
        <w:t xml:space="preserve"> 26(4): 357–78.</w:t>
      </w:r>
    </w:p>
    <w:p w14:paraId="60AD7FC6" w14:textId="002A4C90" w:rsidR="009469E1" w:rsidRDefault="009469E1" w:rsidP="009469E1">
      <w:pPr>
        <w:pStyle w:val="ListParagraph"/>
        <w:numPr>
          <w:ilvl w:val="1"/>
          <w:numId w:val="4"/>
        </w:numPr>
      </w:pPr>
      <w:r>
        <w:t>Bring an example of a paper</w:t>
      </w:r>
      <w:r>
        <w:t xml:space="preserve"> with </w:t>
      </w:r>
      <w:r w:rsidR="00C5615C">
        <w:t>a relevant</w:t>
      </w:r>
      <w:r>
        <w:t xml:space="preserve"> experiment</w:t>
      </w:r>
      <w:r>
        <w:t xml:space="preserve">; be prepared to provide a 2-minute summary </w:t>
      </w:r>
    </w:p>
    <w:p w14:paraId="4F3EE796" w14:textId="77777777" w:rsidR="001F44EB" w:rsidRPr="00941250" w:rsidRDefault="001F44EB" w:rsidP="001F44EB">
      <w:pPr>
        <w:ind w:left="1080"/>
        <w:rPr>
          <w:b/>
        </w:rPr>
      </w:pPr>
    </w:p>
    <w:p w14:paraId="3B474A32" w14:textId="3D1F63C8" w:rsidR="001F44EB" w:rsidRPr="00A05136" w:rsidRDefault="001F44EB" w:rsidP="001F44EB">
      <w:pPr>
        <w:pStyle w:val="ListParagraph"/>
        <w:numPr>
          <w:ilvl w:val="0"/>
          <w:numId w:val="4"/>
        </w:numPr>
        <w:rPr>
          <w:bCs/>
        </w:rPr>
      </w:pPr>
      <w:r w:rsidRPr="00A05136">
        <w:rPr>
          <w:bCs/>
        </w:rPr>
        <w:t>Week 9: Social Desirability Bias</w:t>
      </w:r>
    </w:p>
    <w:p w14:paraId="38F63ECD" w14:textId="77777777" w:rsidR="001F44EB" w:rsidRDefault="001F44EB" w:rsidP="001F44EB">
      <w:pPr>
        <w:pStyle w:val="ListParagraph"/>
        <w:rPr>
          <w:b/>
        </w:rPr>
      </w:pPr>
    </w:p>
    <w:p w14:paraId="35544DAA" w14:textId="77777777" w:rsidR="001F44EB" w:rsidRDefault="001F44EB" w:rsidP="001F44EB">
      <w:pPr>
        <w:pStyle w:val="ListParagraph"/>
        <w:numPr>
          <w:ilvl w:val="1"/>
          <w:numId w:val="4"/>
        </w:numPr>
      </w:pPr>
      <w:r>
        <w:t xml:space="preserve">Blair, Graeme, and Kosuke Imai. 2012. “Statistical Analysis of List Experiments.” </w:t>
      </w:r>
      <w:r w:rsidRPr="003853E9">
        <w:rPr>
          <w:i/>
          <w:iCs/>
        </w:rPr>
        <w:t>Political Analysis</w:t>
      </w:r>
      <w:r>
        <w:t xml:space="preserve"> 20 (1): 47–77. </w:t>
      </w:r>
    </w:p>
    <w:p w14:paraId="7E343298" w14:textId="77777777" w:rsidR="001F44EB" w:rsidRDefault="001F44EB" w:rsidP="001F44EB">
      <w:pPr>
        <w:pStyle w:val="ListParagraph"/>
        <w:numPr>
          <w:ilvl w:val="1"/>
          <w:numId w:val="4"/>
        </w:numPr>
      </w:pPr>
      <w:r>
        <w:t xml:space="preserve">Rosenfeld, Bryn, Kosuke Imai, and Jacob N. Shapiro. 2016. “An Empirical Validation Study of Popular Survey Methodologies for Sensitive Questions.” </w:t>
      </w:r>
      <w:r w:rsidRPr="003853E9">
        <w:rPr>
          <w:i/>
          <w:iCs/>
        </w:rPr>
        <w:t>American Journal of Political Science</w:t>
      </w:r>
      <w:r>
        <w:t xml:space="preserve"> 60 (3): 783–802. </w:t>
      </w:r>
    </w:p>
    <w:p w14:paraId="3385E822" w14:textId="782C490F" w:rsidR="001F44EB" w:rsidRDefault="001F44EB" w:rsidP="001F44EB">
      <w:pPr>
        <w:pStyle w:val="ListParagraph"/>
        <w:numPr>
          <w:ilvl w:val="1"/>
          <w:numId w:val="4"/>
        </w:numPr>
      </w:pPr>
      <w:proofErr w:type="spellStart"/>
      <w:r>
        <w:t>Nanes</w:t>
      </w:r>
      <w:proofErr w:type="spellEnd"/>
      <w:r>
        <w:t xml:space="preserve">, Matthew, and </w:t>
      </w:r>
      <w:proofErr w:type="spellStart"/>
      <w:r>
        <w:t>Dotan</w:t>
      </w:r>
      <w:proofErr w:type="spellEnd"/>
      <w:r>
        <w:t xml:space="preserve"> Haim. 202</w:t>
      </w:r>
      <w:r w:rsidR="003F5CBA">
        <w:t>1</w:t>
      </w:r>
      <w:r>
        <w:t xml:space="preserve">. “Self-Administered Field Surveys on Sensitive Topics.” </w:t>
      </w:r>
      <w:r w:rsidRPr="00461C69">
        <w:rPr>
          <w:i/>
          <w:iCs/>
        </w:rPr>
        <w:t>Journal of Experimental Political Science</w:t>
      </w:r>
      <w:r w:rsidR="003F5CBA">
        <w:t xml:space="preserve"> 8(2): 185-194. </w:t>
      </w:r>
      <w:r>
        <w:t xml:space="preserve"> </w:t>
      </w:r>
    </w:p>
    <w:p w14:paraId="44F0C8CA" w14:textId="26FDF35A" w:rsidR="008A2944" w:rsidRDefault="008A2944" w:rsidP="008A2944">
      <w:pPr>
        <w:pStyle w:val="ListParagraph"/>
        <w:numPr>
          <w:ilvl w:val="1"/>
          <w:numId w:val="4"/>
        </w:numPr>
      </w:pPr>
      <w:r>
        <w:lastRenderedPageBreak/>
        <w:t xml:space="preserve">Kuhn, Patrick M., and Nick </w:t>
      </w:r>
      <w:proofErr w:type="spellStart"/>
      <w:r>
        <w:t>Vivyan</w:t>
      </w:r>
      <w:proofErr w:type="spellEnd"/>
      <w:r>
        <w:t xml:space="preserve">. 2022. “The Misreporting Trade-Off Between List Experiments and Direct Questions in Practice: Partition Validation Evidence from Two Countries.” </w:t>
      </w:r>
      <w:r w:rsidRPr="008A2944">
        <w:rPr>
          <w:i/>
          <w:iCs/>
        </w:rPr>
        <w:t>Political Analysis</w:t>
      </w:r>
      <w:r>
        <w:t xml:space="preserve"> 30 (3): 381–402. </w:t>
      </w:r>
    </w:p>
    <w:p w14:paraId="33271E05" w14:textId="77777777" w:rsidR="001F44EB" w:rsidRPr="00941250" w:rsidRDefault="001F44EB" w:rsidP="001F44EB">
      <w:pPr>
        <w:ind w:left="1080"/>
        <w:rPr>
          <w:b/>
        </w:rPr>
      </w:pPr>
    </w:p>
    <w:p w14:paraId="7EB76C18" w14:textId="77777777" w:rsidR="001F44EB" w:rsidRPr="00AA69A9" w:rsidRDefault="001F44EB" w:rsidP="001F44EB">
      <w:pPr>
        <w:pStyle w:val="ListParagraph"/>
        <w:numPr>
          <w:ilvl w:val="0"/>
          <w:numId w:val="4"/>
        </w:numPr>
        <w:rPr>
          <w:bCs/>
        </w:rPr>
      </w:pPr>
      <w:r w:rsidRPr="00AA69A9">
        <w:rPr>
          <w:bCs/>
        </w:rPr>
        <w:t>Week 10: Surveys Attached to Bigger Research Designs</w:t>
      </w:r>
    </w:p>
    <w:p w14:paraId="5DBAE375" w14:textId="77777777" w:rsidR="001F44EB" w:rsidRDefault="001F44EB" w:rsidP="001F44EB">
      <w:pPr>
        <w:pStyle w:val="ListParagraph"/>
        <w:rPr>
          <w:b/>
        </w:rPr>
      </w:pPr>
    </w:p>
    <w:p w14:paraId="32A3B2D0" w14:textId="7E70CA2B" w:rsidR="008A2944" w:rsidRDefault="008A2944" w:rsidP="008A2944">
      <w:pPr>
        <w:pStyle w:val="ListParagraph"/>
        <w:numPr>
          <w:ilvl w:val="1"/>
          <w:numId w:val="4"/>
        </w:numPr>
      </w:pPr>
      <w:proofErr w:type="spellStart"/>
      <w:r>
        <w:t>Kalla</w:t>
      </w:r>
      <w:proofErr w:type="spellEnd"/>
      <w:r>
        <w:t xml:space="preserve">, Joshua L., David E. Brookman, and </w:t>
      </w:r>
      <w:proofErr w:type="spellStart"/>
      <w:r>
        <w:t>Jasjeet</w:t>
      </w:r>
      <w:proofErr w:type="spellEnd"/>
      <w:r>
        <w:t xml:space="preserve"> S. </w:t>
      </w:r>
      <w:proofErr w:type="spellStart"/>
      <w:r>
        <w:t>Sekhon</w:t>
      </w:r>
      <w:proofErr w:type="spellEnd"/>
      <w:r>
        <w:t xml:space="preserve">. 2021. “Field Experiments with Survey Outcomes.” In </w:t>
      </w:r>
      <w:r>
        <w:rPr>
          <w:i/>
          <w:iCs/>
        </w:rPr>
        <w:t xml:space="preserve">Advances in Experimental Political Science, </w:t>
      </w:r>
      <w:r>
        <w:t xml:space="preserve">edited by James N. </w:t>
      </w:r>
      <w:proofErr w:type="spellStart"/>
      <w:r>
        <w:t>Druckman</w:t>
      </w:r>
      <w:proofErr w:type="spellEnd"/>
      <w:r>
        <w:t xml:space="preserve"> and Donald P. Green, </w:t>
      </w:r>
      <w:r w:rsidR="00CE4E37">
        <w:t>56-78</w:t>
      </w:r>
      <w:r>
        <w:t xml:space="preserve">. Cambridge University Press. </w:t>
      </w:r>
    </w:p>
    <w:p w14:paraId="2786575F" w14:textId="5153AC21" w:rsidR="00716210" w:rsidRDefault="00716210" w:rsidP="00716210">
      <w:pPr>
        <w:pStyle w:val="ListParagraph"/>
        <w:numPr>
          <w:ilvl w:val="1"/>
          <w:numId w:val="4"/>
        </w:numPr>
      </w:pPr>
      <w:r>
        <w:t xml:space="preserve">Peterson, Erik, Sean J. Westwood, and </w:t>
      </w:r>
      <w:proofErr w:type="spellStart"/>
      <w:r>
        <w:t>Shanto</w:t>
      </w:r>
      <w:proofErr w:type="spellEnd"/>
      <w:r>
        <w:t xml:space="preserve"> Iyengar. 2021. “Beyond Attitudes: Incorporating Measures of Behavior in Survey Experiments.” In </w:t>
      </w:r>
      <w:r>
        <w:rPr>
          <w:i/>
          <w:iCs/>
        </w:rPr>
        <w:t xml:space="preserve">Advances in Experimental Political Science, </w:t>
      </w:r>
      <w:r>
        <w:t xml:space="preserve">edited by James N. </w:t>
      </w:r>
      <w:proofErr w:type="spellStart"/>
      <w:r>
        <w:t>Druckman</w:t>
      </w:r>
      <w:proofErr w:type="spellEnd"/>
      <w:r>
        <w:t xml:space="preserve"> and Donald P. Green, 239-256. Cambridge University Press. </w:t>
      </w:r>
    </w:p>
    <w:p w14:paraId="11FF516C" w14:textId="1D49D78E" w:rsidR="005C00A7" w:rsidRDefault="005C00A7" w:rsidP="00CE4E37">
      <w:pPr>
        <w:pStyle w:val="ListParagraph"/>
        <w:numPr>
          <w:ilvl w:val="1"/>
          <w:numId w:val="4"/>
        </w:numPr>
      </w:pPr>
      <w:r>
        <w:t xml:space="preserve">Blair, Graeme, and Gwyneth McClendon. 2021. “Conducting Experiments in Multiple Contexts.” In </w:t>
      </w:r>
      <w:r w:rsidRPr="005C00A7">
        <w:rPr>
          <w:i/>
          <w:iCs/>
        </w:rPr>
        <w:t>Advances in Experimental Political Science</w:t>
      </w:r>
      <w:r w:rsidR="00CE4E37">
        <w:t xml:space="preserve">, </w:t>
      </w:r>
      <w:r w:rsidR="00CE4E37">
        <w:t xml:space="preserve">edited by James N. </w:t>
      </w:r>
      <w:proofErr w:type="spellStart"/>
      <w:r w:rsidR="00CE4E37">
        <w:t>Druckman</w:t>
      </w:r>
      <w:proofErr w:type="spellEnd"/>
      <w:r w:rsidR="00CE4E37">
        <w:t xml:space="preserve"> and Donald P. Green,</w:t>
      </w:r>
      <w:r w:rsidR="00CE4E37">
        <w:t xml:space="preserve"> 411-430</w:t>
      </w:r>
      <w:r w:rsidR="00CE4E37">
        <w:t xml:space="preserve">. Cambridge University Press. </w:t>
      </w:r>
    </w:p>
    <w:p w14:paraId="1DCAF570" w14:textId="77777777" w:rsidR="001F44EB" w:rsidRDefault="001F44EB" w:rsidP="001F44EB">
      <w:pPr>
        <w:pStyle w:val="ListParagraph"/>
        <w:numPr>
          <w:ilvl w:val="1"/>
          <w:numId w:val="4"/>
        </w:numPr>
      </w:pPr>
      <w:proofErr w:type="spellStart"/>
      <w:r>
        <w:t>Balcells</w:t>
      </w:r>
      <w:proofErr w:type="spellEnd"/>
      <w:r>
        <w:t xml:space="preserve">, Laia, and Gerard </w:t>
      </w:r>
      <w:proofErr w:type="spellStart"/>
      <w:r>
        <w:t>Torrats</w:t>
      </w:r>
      <w:proofErr w:type="spellEnd"/>
      <w:r>
        <w:t xml:space="preserve">-Espinosa. 2018. “Using a Natural Experiment to Estimate the Electoral Consequences of Terrorist Attacks.” </w:t>
      </w:r>
      <w:r w:rsidRPr="008C3E2A">
        <w:rPr>
          <w:i/>
          <w:iCs/>
        </w:rPr>
        <w:t>Proceedings of the National Academy of Sciences</w:t>
      </w:r>
      <w:r>
        <w:t xml:space="preserve"> 115 (42): 10624–29. </w:t>
      </w:r>
    </w:p>
    <w:p w14:paraId="6037EEB5" w14:textId="77777777" w:rsidR="001F44EB" w:rsidRDefault="001F44EB" w:rsidP="001F44EB">
      <w:pPr>
        <w:pStyle w:val="ListParagraph"/>
        <w:rPr>
          <w:b/>
        </w:rPr>
      </w:pPr>
    </w:p>
    <w:p w14:paraId="5CCD742A" w14:textId="77777777" w:rsidR="001F44EB" w:rsidRPr="00A05136" w:rsidRDefault="001F44EB" w:rsidP="001F44EB">
      <w:pPr>
        <w:pStyle w:val="ListParagraph"/>
        <w:numPr>
          <w:ilvl w:val="0"/>
          <w:numId w:val="4"/>
        </w:numPr>
        <w:rPr>
          <w:bCs/>
        </w:rPr>
      </w:pPr>
      <w:r w:rsidRPr="00A05136">
        <w:rPr>
          <w:bCs/>
        </w:rPr>
        <w:t>Week 11: Some Cool Techniques</w:t>
      </w:r>
    </w:p>
    <w:p w14:paraId="50EE4400" w14:textId="77777777" w:rsidR="001F44EB" w:rsidRPr="00B3504C" w:rsidRDefault="001F44EB" w:rsidP="001F44EB">
      <w:pPr>
        <w:rPr>
          <w:b/>
        </w:rPr>
      </w:pPr>
    </w:p>
    <w:p w14:paraId="5FB39E8C" w14:textId="77777777" w:rsidR="001F44EB" w:rsidRDefault="001F44EB" w:rsidP="001F44EB">
      <w:pPr>
        <w:pStyle w:val="ListParagraph"/>
        <w:numPr>
          <w:ilvl w:val="1"/>
          <w:numId w:val="4"/>
        </w:numPr>
      </w:pPr>
      <w:r>
        <w:t xml:space="preserve">Clifford, Scott, Geoffrey </w:t>
      </w:r>
      <w:proofErr w:type="spellStart"/>
      <w:r>
        <w:t>Sheagley</w:t>
      </w:r>
      <w:proofErr w:type="spellEnd"/>
      <w:r>
        <w:t xml:space="preserve">, and Spencer Piston. 2021. “Increasing Precision without Altering Treatment Effects: Repeated Measures Designs in Survey Experiments.” </w:t>
      </w:r>
      <w:r w:rsidRPr="003853E9">
        <w:rPr>
          <w:i/>
          <w:iCs/>
        </w:rPr>
        <w:t>American Political Science Review</w:t>
      </w:r>
      <w:r>
        <w:t xml:space="preserve">, 1–18. </w:t>
      </w:r>
    </w:p>
    <w:p w14:paraId="08D645F1" w14:textId="77777777" w:rsidR="001F44EB" w:rsidRDefault="001F44EB" w:rsidP="001F44EB">
      <w:pPr>
        <w:pStyle w:val="ListParagraph"/>
        <w:numPr>
          <w:ilvl w:val="1"/>
          <w:numId w:val="4"/>
        </w:numPr>
      </w:pPr>
      <w:proofErr w:type="spellStart"/>
      <w:r>
        <w:t>Roccato</w:t>
      </w:r>
      <w:proofErr w:type="spellEnd"/>
      <w:r>
        <w:t xml:space="preserve">, Michele, and Cristina </w:t>
      </w:r>
      <w:proofErr w:type="spellStart"/>
      <w:r>
        <w:t>Zogmaister</w:t>
      </w:r>
      <w:proofErr w:type="spellEnd"/>
      <w:r>
        <w:t xml:space="preserve">. 2010. “Predicting the Vote through Implicit and Explicit Attitudes: A Field Research.” </w:t>
      </w:r>
      <w:r w:rsidRPr="003853E9">
        <w:rPr>
          <w:i/>
          <w:iCs/>
        </w:rPr>
        <w:t>Political Psychology</w:t>
      </w:r>
      <w:r>
        <w:t xml:space="preserve"> 31 (2): 249–74. </w:t>
      </w:r>
    </w:p>
    <w:p w14:paraId="1F45E34D" w14:textId="4B2F2524" w:rsidR="001F44EB" w:rsidRDefault="001F44EB" w:rsidP="001F44EB">
      <w:pPr>
        <w:pStyle w:val="ListParagraph"/>
        <w:numPr>
          <w:ilvl w:val="1"/>
          <w:numId w:val="4"/>
        </w:numPr>
      </w:pPr>
      <w:proofErr w:type="spellStart"/>
      <w:r>
        <w:t>Renshon</w:t>
      </w:r>
      <w:proofErr w:type="spellEnd"/>
      <w:r>
        <w:t xml:space="preserve">, Jonathan, Julia J. Lee, and Dustin Tingley. 2017. “Emotions and the Micro-Foundations of Commitment Problems.” </w:t>
      </w:r>
      <w:r w:rsidRPr="003853E9">
        <w:rPr>
          <w:i/>
          <w:iCs/>
        </w:rPr>
        <w:t>International Organization</w:t>
      </w:r>
      <w:r>
        <w:t xml:space="preserve"> 71 (1): S189–218. </w:t>
      </w:r>
    </w:p>
    <w:p w14:paraId="572DD604" w14:textId="77777777" w:rsidR="001F44EB" w:rsidRDefault="001F44EB" w:rsidP="001F44EB">
      <w:pPr>
        <w:pStyle w:val="ListParagraph"/>
        <w:numPr>
          <w:ilvl w:val="1"/>
          <w:numId w:val="4"/>
        </w:numPr>
      </w:pPr>
      <w:proofErr w:type="spellStart"/>
      <w:r>
        <w:t>Jenke</w:t>
      </w:r>
      <w:proofErr w:type="spellEnd"/>
      <w:r>
        <w:t xml:space="preserve">, Libby, Kirk </w:t>
      </w:r>
      <w:proofErr w:type="spellStart"/>
      <w:r>
        <w:t>Bansak</w:t>
      </w:r>
      <w:proofErr w:type="spellEnd"/>
      <w:r>
        <w:t xml:space="preserve">, Jens </w:t>
      </w:r>
      <w:proofErr w:type="spellStart"/>
      <w:r>
        <w:t>Hainmueller</w:t>
      </w:r>
      <w:proofErr w:type="spellEnd"/>
      <w:r>
        <w:t xml:space="preserve">, and Dominik </w:t>
      </w:r>
      <w:proofErr w:type="spellStart"/>
      <w:r>
        <w:t>Hangartner</w:t>
      </w:r>
      <w:proofErr w:type="spellEnd"/>
      <w:r>
        <w:t xml:space="preserve">. 2021. “Using Eye-Tracking to Understand Decision-Making in Conjoint Experiments.” </w:t>
      </w:r>
      <w:r w:rsidRPr="00AC14F5">
        <w:rPr>
          <w:i/>
          <w:iCs/>
        </w:rPr>
        <w:t>Political Analysis</w:t>
      </w:r>
      <w:r>
        <w:t xml:space="preserve"> 29 (1): 75–101. </w:t>
      </w:r>
    </w:p>
    <w:p w14:paraId="14783784" w14:textId="77777777" w:rsidR="001F44EB" w:rsidRPr="00AC14F5" w:rsidRDefault="001F44EB" w:rsidP="001F44EB">
      <w:pPr>
        <w:pStyle w:val="ListParagraph"/>
        <w:numPr>
          <w:ilvl w:val="1"/>
          <w:numId w:val="4"/>
        </w:numPr>
      </w:pPr>
      <w:proofErr w:type="spellStart"/>
      <w:r>
        <w:t>Lindstädt</w:t>
      </w:r>
      <w:proofErr w:type="spellEnd"/>
      <w:r>
        <w:t xml:space="preserve">, René, Sven-Oliver </w:t>
      </w:r>
      <w:proofErr w:type="spellStart"/>
      <w:r>
        <w:t>Proksch</w:t>
      </w:r>
      <w:proofErr w:type="spellEnd"/>
      <w:r>
        <w:t xml:space="preserve">, and Jonathan B. </w:t>
      </w:r>
      <w:proofErr w:type="spellStart"/>
      <w:r>
        <w:t>Slapin</w:t>
      </w:r>
      <w:proofErr w:type="spellEnd"/>
      <w:r>
        <w:t xml:space="preserve">. 2020. “When Experts Disagree: Response Aggregation and Its Consequences in Expert Surveys.” </w:t>
      </w:r>
      <w:r w:rsidRPr="00297667">
        <w:rPr>
          <w:i/>
          <w:iCs/>
        </w:rPr>
        <w:t>Political Science Research and Methods</w:t>
      </w:r>
      <w:r>
        <w:t xml:space="preserve"> 8 (3): 580–88. </w:t>
      </w:r>
    </w:p>
    <w:p w14:paraId="62F6712F" w14:textId="77777777" w:rsidR="001F44EB" w:rsidRDefault="001F44EB" w:rsidP="001F44EB">
      <w:pPr>
        <w:rPr>
          <w:b/>
        </w:rPr>
      </w:pPr>
    </w:p>
    <w:p w14:paraId="2360F4B0" w14:textId="77777777" w:rsidR="001F44EB" w:rsidRPr="00531F24" w:rsidRDefault="001F44EB" w:rsidP="001F44EB">
      <w:pPr>
        <w:rPr>
          <w:bCs/>
          <w:i/>
          <w:iCs/>
        </w:rPr>
      </w:pPr>
      <w:r w:rsidRPr="00531F24">
        <w:rPr>
          <w:bCs/>
          <w:i/>
          <w:iCs/>
        </w:rPr>
        <w:t xml:space="preserve">Section 3: </w:t>
      </w:r>
      <w:r>
        <w:rPr>
          <w:bCs/>
          <w:i/>
          <w:iCs/>
        </w:rPr>
        <w:t>Other Considerations</w:t>
      </w:r>
    </w:p>
    <w:p w14:paraId="5997CAE5" w14:textId="77777777" w:rsidR="001F44EB" w:rsidRPr="00531F24" w:rsidRDefault="001F44EB" w:rsidP="001F44EB">
      <w:pPr>
        <w:rPr>
          <w:b/>
        </w:rPr>
      </w:pPr>
    </w:p>
    <w:p w14:paraId="2F4F8D8E" w14:textId="77777777" w:rsidR="001F44EB" w:rsidRPr="00A05136" w:rsidRDefault="001F44EB" w:rsidP="001F44EB">
      <w:pPr>
        <w:pStyle w:val="ListParagraph"/>
        <w:numPr>
          <w:ilvl w:val="0"/>
          <w:numId w:val="4"/>
        </w:numPr>
        <w:rPr>
          <w:bCs/>
        </w:rPr>
      </w:pPr>
      <w:r w:rsidRPr="00A05136">
        <w:rPr>
          <w:bCs/>
        </w:rPr>
        <w:t>Week 12: Ethics</w:t>
      </w:r>
    </w:p>
    <w:p w14:paraId="19F65CAD" w14:textId="77777777" w:rsidR="001F44EB" w:rsidRDefault="001F44EB" w:rsidP="001F44EB">
      <w:pPr>
        <w:pStyle w:val="ListParagraph"/>
        <w:rPr>
          <w:b/>
        </w:rPr>
      </w:pPr>
    </w:p>
    <w:p w14:paraId="1B4E1564" w14:textId="77777777" w:rsidR="001F44EB" w:rsidRDefault="001F44EB" w:rsidP="001F44EB">
      <w:pPr>
        <w:pStyle w:val="ListParagraph"/>
        <w:numPr>
          <w:ilvl w:val="1"/>
          <w:numId w:val="4"/>
        </w:numPr>
        <w:rPr>
          <w:bCs/>
        </w:rPr>
      </w:pPr>
      <w:r w:rsidRPr="00531F24">
        <w:rPr>
          <w:bCs/>
        </w:rPr>
        <w:t>Groves, Chapter 11</w:t>
      </w:r>
    </w:p>
    <w:p w14:paraId="1D976E2E" w14:textId="55FBC3AD" w:rsidR="001F44EB" w:rsidRDefault="001F44EB" w:rsidP="001F44EB">
      <w:pPr>
        <w:pStyle w:val="ListParagraph"/>
        <w:numPr>
          <w:ilvl w:val="1"/>
          <w:numId w:val="4"/>
        </w:numPr>
      </w:pPr>
      <w:r>
        <w:t xml:space="preserve">Berry, Sandra H., and Patrick P. Gunn. 2014. “Conducting Research on Vulnerable and Stigmatized Populations.” In </w:t>
      </w:r>
      <w:r w:rsidRPr="008D4B18">
        <w:rPr>
          <w:i/>
          <w:iCs/>
        </w:rPr>
        <w:t>Hard-to-Survey Populations</w:t>
      </w:r>
      <w:r>
        <w:t xml:space="preserve">, edited </w:t>
      </w:r>
      <w:r>
        <w:lastRenderedPageBreak/>
        <w:t xml:space="preserve">by Roger Tourangeau, Brad Edwards, Timothy P. Johnson, Kirk M. Wolter, and Nancy Bates, 368–78. Cambridge University Press. </w:t>
      </w:r>
    </w:p>
    <w:p w14:paraId="556A8DD0" w14:textId="77777777" w:rsidR="001F44EB" w:rsidRDefault="001F44EB" w:rsidP="001F44EB">
      <w:pPr>
        <w:pStyle w:val="ListParagraph"/>
        <w:numPr>
          <w:ilvl w:val="1"/>
          <w:numId w:val="4"/>
        </w:numPr>
      </w:pPr>
      <w:proofErr w:type="spellStart"/>
      <w:r>
        <w:t>Seligson</w:t>
      </w:r>
      <w:proofErr w:type="spellEnd"/>
      <w:r>
        <w:t xml:space="preserve">, Mitchell A. 2008. “Human Subjects Protection and Large-N Research: When Exempt Is Non-Exempt and Research Is Non-Research.” </w:t>
      </w:r>
      <w:r w:rsidRPr="00461C69">
        <w:rPr>
          <w:i/>
          <w:iCs/>
        </w:rPr>
        <w:t>PS: Political Science and Politics</w:t>
      </w:r>
      <w:r>
        <w:t xml:space="preserve"> 41 (3): 477–82.</w:t>
      </w:r>
    </w:p>
    <w:p w14:paraId="73CF39C1" w14:textId="4C742E7C" w:rsidR="001F44EB" w:rsidRDefault="001F44EB" w:rsidP="001F44EB">
      <w:pPr>
        <w:pStyle w:val="ListParagraph"/>
        <w:numPr>
          <w:ilvl w:val="1"/>
          <w:numId w:val="4"/>
        </w:numPr>
      </w:pPr>
      <w:proofErr w:type="spellStart"/>
      <w:r>
        <w:t>Desposato</w:t>
      </w:r>
      <w:proofErr w:type="spellEnd"/>
      <w:r>
        <w:t xml:space="preserve">, Scott. 2018. “Subjects and Scholars’ Views on the Ethics of Political Science Field Experiments.” </w:t>
      </w:r>
      <w:r w:rsidRPr="00461C69">
        <w:rPr>
          <w:i/>
          <w:iCs/>
        </w:rPr>
        <w:t>Perspectives on Politics</w:t>
      </w:r>
      <w:r>
        <w:t xml:space="preserve"> 16 (3): 739–50. </w:t>
      </w:r>
    </w:p>
    <w:p w14:paraId="4635D88E" w14:textId="5FCCBCA5" w:rsidR="003F5CBA" w:rsidRDefault="003F5CBA" w:rsidP="003F5CBA">
      <w:pPr>
        <w:pStyle w:val="ListParagraph"/>
        <w:numPr>
          <w:ilvl w:val="1"/>
          <w:numId w:val="4"/>
        </w:numPr>
      </w:pPr>
      <w:r>
        <w:t xml:space="preserve">Davis, Justine M., and Martha </w:t>
      </w:r>
      <w:proofErr w:type="spellStart"/>
      <w:r>
        <w:t>Wilfahrt</w:t>
      </w:r>
      <w:proofErr w:type="spellEnd"/>
      <w:r>
        <w:t xml:space="preserve">. 2023. “Enumerator Experiences in Violent Research Environments.” </w:t>
      </w:r>
      <w:r w:rsidRPr="003F5CBA">
        <w:rPr>
          <w:i/>
          <w:iCs/>
        </w:rPr>
        <w:t>Comparative Political Studies</w:t>
      </w:r>
      <w:r>
        <w:t xml:space="preserve"> Forthcoming</w:t>
      </w:r>
    </w:p>
    <w:p w14:paraId="5FEAAA53" w14:textId="1297093B" w:rsidR="003F5CBA" w:rsidRPr="003F5CBA" w:rsidRDefault="003F5CBA" w:rsidP="003F5CBA">
      <w:pPr>
        <w:pStyle w:val="ListParagraph"/>
        <w:numPr>
          <w:ilvl w:val="1"/>
          <w:numId w:val="4"/>
        </w:numPr>
      </w:pPr>
      <w:r w:rsidRPr="003F5CBA">
        <w:t xml:space="preserve">Lee, Alexander, </w:t>
      </w:r>
      <w:proofErr w:type="spellStart"/>
      <w:r w:rsidRPr="003F5CBA">
        <w:t>Ved</w:t>
      </w:r>
      <w:proofErr w:type="spellEnd"/>
      <w:r w:rsidRPr="003F5CBA">
        <w:t xml:space="preserve"> Prakash Sharma, and Ajay </w:t>
      </w:r>
      <w:proofErr w:type="spellStart"/>
      <w:r w:rsidRPr="003F5CBA">
        <w:t>Verghese</w:t>
      </w:r>
      <w:proofErr w:type="spellEnd"/>
      <w:r w:rsidRPr="003F5CBA">
        <w:t xml:space="preserve">. 2023. “Social Science Comes to the Village: Assessing Behavioral Research in Developing Countries.” </w:t>
      </w:r>
      <w:hyperlink r:id="rId19" w:history="1">
        <w:r w:rsidRPr="003F5CBA">
          <w:rPr>
            <w:color w:val="0000FF"/>
            <w:u w:val="single"/>
          </w:rPr>
          <w:t>https://papers.ssrn.com/abstract=4466346</w:t>
        </w:r>
      </w:hyperlink>
      <w:r>
        <w:t xml:space="preserve">. </w:t>
      </w:r>
    </w:p>
    <w:p w14:paraId="6FE78F1B" w14:textId="77777777" w:rsidR="001F44EB" w:rsidRPr="003F5CBA" w:rsidRDefault="001F44EB" w:rsidP="003F5CBA">
      <w:pPr>
        <w:pStyle w:val="ListParagraph"/>
        <w:ind w:left="1440"/>
      </w:pPr>
    </w:p>
    <w:p w14:paraId="2169F187" w14:textId="77777777" w:rsidR="001F44EB" w:rsidRPr="00A05136" w:rsidRDefault="001F44EB" w:rsidP="001F44EB">
      <w:pPr>
        <w:pStyle w:val="ListParagraph"/>
        <w:numPr>
          <w:ilvl w:val="0"/>
          <w:numId w:val="4"/>
        </w:numPr>
        <w:rPr>
          <w:bCs/>
        </w:rPr>
      </w:pPr>
      <w:r w:rsidRPr="00A05136">
        <w:rPr>
          <w:bCs/>
        </w:rPr>
        <w:t>Week 13: Practicalities</w:t>
      </w:r>
    </w:p>
    <w:p w14:paraId="78637F1D" w14:textId="77777777" w:rsidR="001F44EB" w:rsidRDefault="001F44EB" w:rsidP="001F44EB">
      <w:pPr>
        <w:pStyle w:val="ListParagraph"/>
        <w:rPr>
          <w:b/>
        </w:rPr>
      </w:pPr>
    </w:p>
    <w:p w14:paraId="1C1068C8" w14:textId="77777777" w:rsidR="001F44EB" w:rsidRPr="008D4B18" w:rsidRDefault="001F44EB" w:rsidP="001F44EB">
      <w:pPr>
        <w:pStyle w:val="ListParagraph"/>
        <w:numPr>
          <w:ilvl w:val="1"/>
          <w:numId w:val="4"/>
        </w:numPr>
        <w:rPr>
          <w:b/>
        </w:rPr>
      </w:pPr>
      <w:r>
        <w:rPr>
          <w:bCs/>
        </w:rPr>
        <w:t>Groves, Chapter 9</w:t>
      </w:r>
    </w:p>
    <w:p w14:paraId="3C909434" w14:textId="560AB991" w:rsidR="001F44EB" w:rsidRDefault="001F44EB" w:rsidP="001F44EB">
      <w:pPr>
        <w:pStyle w:val="ListParagraph"/>
        <w:numPr>
          <w:ilvl w:val="1"/>
          <w:numId w:val="4"/>
        </w:numPr>
      </w:pPr>
      <w:proofErr w:type="spellStart"/>
      <w:r>
        <w:t>Mneimneh</w:t>
      </w:r>
      <w:proofErr w:type="spellEnd"/>
      <w:r>
        <w:t xml:space="preserve">, Zeina N., William G. </w:t>
      </w:r>
      <w:proofErr w:type="spellStart"/>
      <w:r>
        <w:t>Axinn</w:t>
      </w:r>
      <w:proofErr w:type="spellEnd"/>
      <w:r>
        <w:t xml:space="preserve">, </w:t>
      </w:r>
      <w:proofErr w:type="spellStart"/>
      <w:r>
        <w:t>Dirgha</w:t>
      </w:r>
      <w:proofErr w:type="spellEnd"/>
      <w:r>
        <w:t xml:space="preserve"> Ghimire, Kristen L. </w:t>
      </w:r>
      <w:proofErr w:type="spellStart"/>
      <w:r>
        <w:t>Cibelli</w:t>
      </w:r>
      <w:proofErr w:type="spellEnd"/>
      <w:r>
        <w:t xml:space="preserve">, and Mohammad Salih </w:t>
      </w:r>
      <w:proofErr w:type="spellStart"/>
      <w:r>
        <w:t>Alkaisy</w:t>
      </w:r>
      <w:proofErr w:type="spellEnd"/>
      <w:r>
        <w:t xml:space="preserve">. 2014. “Conducting Surveys in Areas of Armed Conflict.” In </w:t>
      </w:r>
      <w:r w:rsidRPr="008D4B18">
        <w:rPr>
          <w:i/>
          <w:iCs/>
        </w:rPr>
        <w:t>Hard-to-Survey Populations</w:t>
      </w:r>
      <w:r>
        <w:t xml:space="preserve">, edited by Roger Tourangeau, Brad Edwards, Timothy P. Johnson, Kirk M. Wolter, and Nancy Bates, 134–56. Cambridge University Press. </w:t>
      </w:r>
    </w:p>
    <w:p w14:paraId="119256AD" w14:textId="747DD520" w:rsidR="001F44EB" w:rsidRPr="00792A5D" w:rsidRDefault="001F44EB" w:rsidP="001F44EB">
      <w:pPr>
        <w:pStyle w:val="ListParagraph"/>
        <w:numPr>
          <w:ilvl w:val="1"/>
          <w:numId w:val="4"/>
        </w:numPr>
        <w:rPr>
          <w:b/>
        </w:rPr>
      </w:pPr>
      <w:r>
        <w:t xml:space="preserve">Driscoll, Jesse. 2021. “Thinking Like a Manager.” In </w:t>
      </w:r>
      <w:r w:rsidRPr="00792A5D">
        <w:rPr>
          <w:i/>
          <w:iCs/>
        </w:rPr>
        <w:t>Doing Global Fieldwork: A Social Scientist’s Guide to Mixed-Methods Research Far from Home</w:t>
      </w:r>
      <w:r>
        <w:rPr>
          <w:i/>
          <w:iCs/>
        </w:rPr>
        <w:t xml:space="preserve">, </w:t>
      </w:r>
      <w:r>
        <w:t xml:space="preserve">pages 135-165. Columbia University Press. </w:t>
      </w:r>
    </w:p>
    <w:p w14:paraId="3F8A9F95" w14:textId="3B61332C" w:rsidR="004D0B91" w:rsidRDefault="001F44EB" w:rsidP="001F44EB">
      <w:pPr>
        <w:pStyle w:val="ListParagraph"/>
        <w:numPr>
          <w:ilvl w:val="1"/>
          <w:numId w:val="4"/>
        </w:numPr>
      </w:pPr>
      <w:r>
        <w:t xml:space="preserve">The Writing Center, UNC. n.d. “Grant Proposals (or Give Me the Money!).” </w:t>
      </w:r>
      <w:r w:rsidRPr="00165B6E">
        <w:rPr>
          <w:i/>
          <w:iCs/>
        </w:rPr>
        <w:t>The Writing Center • University of North Carolina at Chapel Hill</w:t>
      </w:r>
      <w:r>
        <w:t xml:space="preserve"> (blog). Accessed June 6, 2021. </w:t>
      </w:r>
      <w:hyperlink r:id="rId20" w:history="1">
        <w:r>
          <w:rPr>
            <w:rStyle w:val="Hyperlink"/>
          </w:rPr>
          <w:t>https://writingcenter.u</w:t>
        </w:r>
        <w:r>
          <w:rPr>
            <w:rStyle w:val="Hyperlink"/>
          </w:rPr>
          <w:t>n</w:t>
        </w:r>
        <w:r>
          <w:rPr>
            <w:rStyle w:val="Hyperlink"/>
          </w:rPr>
          <w:t>c.edu/tips-and-tools/grant-proposals-or-give-me-the-money/</w:t>
        </w:r>
      </w:hyperlink>
      <w:r>
        <w:t>.</w:t>
      </w:r>
    </w:p>
    <w:p w14:paraId="1AF4E8AE" w14:textId="25D3606E" w:rsidR="00533399" w:rsidRDefault="00533399" w:rsidP="001F44EB">
      <w:pPr>
        <w:pStyle w:val="ListParagraph"/>
        <w:numPr>
          <w:ilvl w:val="1"/>
          <w:numId w:val="4"/>
        </w:numPr>
      </w:pPr>
      <w:r>
        <w:t>Schubiger, Livia and Gabriella Levy, 2022, “IRB submission, Duke University, Explaining Civilian Support for Political and Criminal Armed Groups.”</w:t>
      </w:r>
    </w:p>
    <w:sectPr w:rsidR="00533399" w:rsidSect="00E47D13">
      <w:footerReference w:type="even"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B7151" w14:textId="77777777" w:rsidR="00EE0505" w:rsidRDefault="00EE0505" w:rsidP="001F44EB">
      <w:r>
        <w:separator/>
      </w:r>
    </w:p>
  </w:endnote>
  <w:endnote w:type="continuationSeparator" w:id="0">
    <w:p w14:paraId="505DDC4D" w14:textId="77777777" w:rsidR="00EE0505" w:rsidRDefault="00EE0505" w:rsidP="001F4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1067228"/>
      <w:docPartObj>
        <w:docPartGallery w:val="Page Numbers (Bottom of Page)"/>
        <w:docPartUnique/>
      </w:docPartObj>
    </w:sdtPr>
    <w:sdtContent>
      <w:p w14:paraId="28A541AD" w14:textId="77777777" w:rsidR="00A97923" w:rsidRDefault="00827ED2" w:rsidP="00A979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D54D48" w14:textId="77777777" w:rsidR="00A97923" w:rsidRDefault="00000000" w:rsidP="00BB11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0974417"/>
      <w:docPartObj>
        <w:docPartGallery w:val="Page Numbers (Bottom of Page)"/>
        <w:docPartUnique/>
      </w:docPartObj>
    </w:sdtPr>
    <w:sdtContent>
      <w:p w14:paraId="220B14C1" w14:textId="77777777" w:rsidR="00A97923" w:rsidRDefault="00827ED2" w:rsidP="00A979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1E28016A" w14:textId="77777777" w:rsidR="00A97923" w:rsidRDefault="00000000" w:rsidP="00BB111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B9E3E" w14:textId="77777777" w:rsidR="00EE0505" w:rsidRDefault="00EE0505" w:rsidP="001F44EB">
      <w:r>
        <w:separator/>
      </w:r>
    </w:p>
  </w:footnote>
  <w:footnote w:type="continuationSeparator" w:id="0">
    <w:p w14:paraId="4BA9918E" w14:textId="77777777" w:rsidR="00EE0505" w:rsidRDefault="00EE0505" w:rsidP="001F44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1D266F"/>
    <w:multiLevelType w:val="hybridMultilevel"/>
    <w:tmpl w:val="5B8C5B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6296FFA"/>
    <w:multiLevelType w:val="hybridMultilevel"/>
    <w:tmpl w:val="67D24EA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2145BD"/>
    <w:multiLevelType w:val="hybridMultilevel"/>
    <w:tmpl w:val="A38A522E"/>
    <w:lvl w:ilvl="0" w:tplc="04090011">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FB2B2F"/>
    <w:multiLevelType w:val="hybridMultilevel"/>
    <w:tmpl w:val="0576FCE6"/>
    <w:lvl w:ilvl="0" w:tplc="99582A26">
      <w:start w:val="1"/>
      <w:numFmt w:val="decimal"/>
      <w:lvlText w:val="%1)"/>
      <w:lvlJc w:val="left"/>
      <w:pPr>
        <w:ind w:left="720" w:hanging="360"/>
      </w:pPr>
      <w:rPr>
        <w:rFonts w:hint="default"/>
        <w:b w:val="0"/>
        <w:bCs/>
      </w:rPr>
    </w:lvl>
    <w:lvl w:ilvl="1" w:tplc="A8BCBB90">
      <w:start w:val="1"/>
      <w:numFmt w:val="lowerLetter"/>
      <w:lvlText w:val="%2."/>
      <w:lvlJc w:val="left"/>
      <w:pPr>
        <w:ind w:left="1440" w:hanging="360"/>
      </w:pPr>
      <w:rPr>
        <w:b w:val="0"/>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D64074"/>
    <w:multiLevelType w:val="hybridMultilevel"/>
    <w:tmpl w:val="6CAA4084"/>
    <w:lvl w:ilvl="0" w:tplc="04090011">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3402845">
    <w:abstractNumId w:val="0"/>
  </w:num>
  <w:num w:numId="2" w16cid:durableId="1928414558">
    <w:abstractNumId w:val="2"/>
  </w:num>
  <w:num w:numId="3" w16cid:durableId="944267074">
    <w:abstractNumId w:val="1"/>
  </w:num>
  <w:num w:numId="4" w16cid:durableId="1353724175">
    <w:abstractNumId w:val="3"/>
  </w:num>
  <w:num w:numId="5" w16cid:durableId="10138010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F32"/>
    <w:rsid w:val="000F62A5"/>
    <w:rsid w:val="001F44EB"/>
    <w:rsid w:val="002274F1"/>
    <w:rsid w:val="00252CE3"/>
    <w:rsid w:val="00330893"/>
    <w:rsid w:val="003A7F65"/>
    <w:rsid w:val="003F5CBA"/>
    <w:rsid w:val="004B298A"/>
    <w:rsid w:val="004D0B91"/>
    <w:rsid w:val="00533399"/>
    <w:rsid w:val="005A572D"/>
    <w:rsid w:val="005C00A7"/>
    <w:rsid w:val="006B52C0"/>
    <w:rsid w:val="00716210"/>
    <w:rsid w:val="00751C40"/>
    <w:rsid w:val="00827ED2"/>
    <w:rsid w:val="0085472D"/>
    <w:rsid w:val="008A2944"/>
    <w:rsid w:val="008D7C17"/>
    <w:rsid w:val="0093773F"/>
    <w:rsid w:val="009469E1"/>
    <w:rsid w:val="00A018E4"/>
    <w:rsid w:val="00A57149"/>
    <w:rsid w:val="00B87625"/>
    <w:rsid w:val="00C45EDA"/>
    <w:rsid w:val="00C5615C"/>
    <w:rsid w:val="00CC5F32"/>
    <w:rsid w:val="00CE4E37"/>
    <w:rsid w:val="00D26974"/>
    <w:rsid w:val="00DB532B"/>
    <w:rsid w:val="00E97778"/>
    <w:rsid w:val="00EE0505"/>
    <w:rsid w:val="00FC7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D06F13"/>
  <w15:chartTrackingRefBased/>
  <w15:docId w15:val="{9960924E-1247-CE4B-AAE8-41904318B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B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44EB"/>
    <w:pPr>
      <w:ind w:left="720"/>
      <w:contextualSpacing/>
    </w:pPr>
  </w:style>
  <w:style w:type="table" w:styleId="TableGrid">
    <w:name w:val="Table Grid"/>
    <w:basedOn w:val="TableNormal"/>
    <w:uiPriority w:val="39"/>
    <w:rsid w:val="001F44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44EB"/>
    <w:rPr>
      <w:color w:val="0000FF"/>
      <w:u w:val="single"/>
    </w:rPr>
  </w:style>
  <w:style w:type="paragraph" w:styleId="Header">
    <w:name w:val="header"/>
    <w:basedOn w:val="Normal"/>
    <w:link w:val="HeaderChar"/>
    <w:uiPriority w:val="99"/>
    <w:unhideWhenUsed/>
    <w:rsid w:val="001F44EB"/>
    <w:pPr>
      <w:tabs>
        <w:tab w:val="center" w:pos="4680"/>
        <w:tab w:val="right" w:pos="9360"/>
      </w:tabs>
    </w:pPr>
  </w:style>
  <w:style w:type="character" w:customStyle="1" w:styleId="HeaderChar">
    <w:name w:val="Header Char"/>
    <w:basedOn w:val="DefaultParagraphFont"/>
    <w:link w:val="Header"/>
    <w:uiPriority w:val="99"/>
    <w:rsid w:val="001F44EB"/>
    <w:rPr>
      <w:rFonts w:ascii="Times New Roman" w:eastAsia="Times New Roman" w:hAnsi="Times New Roman" w:cs="Times New Roman"/>
    </w:rPr>
  </w:style>
  <w:style w:type="paragraph" w:styleId="Footer">
    <w:name w:val="footer"/>
    <w:basedOn w:val="Normal"/>
    <w:link w:val="FooterChar"/>
    <w:uiPriority w:val="99"/>
    <w:unhideWhenUsed/>
    <w:rsid w:val="001F44EB"/>
    <w:pPr>
      <w:tabs>
        <w:tab w:val="center" w:pos="4680"/>
        <w:tab w:val="right" w:pos="9360"/>
      </w:tabs>
    </w:pPr>
  </w:style>
  <w:style w:type="character" w:customStyle="1" w:styleId="FooterChar">
    <w:name w:val="Footer Char"/>
    <w:basedOn w:val="DefaultParagraphFont"/>
    <w:link w:val="Footer"/>
    <w:uiPriority w:val="99"/>
    <w:rsid w:val="001F44EB"/>
    <w:rPr>
      <w:rFonts w:ascii="Times New Roman" w:eastAsia="Times New Roman" w:hAnsi="Times New Roman" w:cs="Times New Roman"/>
    </w:rPr>
  </w:style>
  <w:style w:type="character" w:styleId="PageNumber">
    <w:name w:val="page number"/>
    <w:basedOn w:val="DefaultParagraphFont"/>
    <w:uiPriority w:val="99"/>
    <w:semiHidden/>
    <w:unhideWhenUsed/>
    <w:rsid w:val="001F44EB"/>
  </w:style>
  <w:style w:type="character" w:styleId="UnresolvedMention">
    <w:name w:val="Unresolved Mention"/>
    <w:basedOn w:val="DefaultParagraphFont"/>
    <w:uiPriority w:val="99"/>
    <w:semiHidden/>
    <w:unhideWhenUsed/>
    <w:rsid w:val="005A572D"/>
    <w:rPr>
      <w:color w:val="605E5C"/>
      <w:shd w:val="clear" w:color="auto" w:fill="E1DFDD"/>
    </w:rPr>
  </w:style>
  <w:style w:type="character" w:styleId="FollowedHyperlink">
    <w:name w:val="FollowedHyperlink"/>
    <w:basedOn w:val="DefaultParagraphFont"/>
    <w:uiPriority w:val="99"/>
    <w:semiHidden/>
    <w:unhideWhenUsed/>
    <w:rsid w:val="003F5C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76152">
      <w:bodyDiv w:val="1"/>
      <w:marLeft w:val="0"/>
      <w:marRight w:val="0"/>
      <w:marTop w:val="0"/>
      <w:marBottom w:val="0"/>
      <w:divBdr>
        <w:top w:val="none" w:sz="0" w:space="0" w:color="auto"/>
        <w:left w:val="none" w:sz="0" w:space="0" w:color="auto"/>
        <w:bottom w:val="none" w:sz="0" w:space="0" w:color="auto"/>
        <w:right w:val="none" w:sz="0" w:space="0" w:color="auto"/>
      </w:divBdr>
      <w:divsChild>
        <w:div w:id="1487479714">
          <w:marLeft w:val="480"/>
          <w:marRight w:val="0"/>
          <w:marTop w:val="0"/>
          <w:marBottom w:val="0"/>
          <w:divBdr>
            <w:top w:val="none" w:sz="0" w:space="0" w:color="auto"/>
            <w:left w:val="none" w:sz="0" w:space="0" w:color="auto"/>
            <w:bottom w:val="none" w:sz="0" w:space="0" w:color="auto"/>
            <w:right w:val="none" w:sz="0" w:space="0" w:color="auto"/>
          </w:divBdr>
          <w:divsChild>
            <w:div w:id="17811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13827">
      <w:bodyDiv w:val="1"/>
      <w:marLeft w:val="0"/>
      <w:marRight w:val="0"/>
      <w:marTop w:val="0"/>
      <w:marBottom w:val="0"/>
      <w:divBdr>
        <w:top w:val="none" w:sz="0" w:space="0" w:color="auto"/>
        <w:left w:val="none" w:sz="0" w:space="0" w:color="auto"/>
        <w:bottom w:val="none" w:sz="0" w:space="0" w:color="auto"/>
        <w:right w:val="none" w:sz="0" w:space="0" w:color="auto"/>
      </w:divBdr>
      <w:divsChild>
        <w:div w:id="401099334">
          <w:marLeft w:val="480"/>
          <w:marRight w:val="0"/>
          <w:marTop w:val="0"/>
          <w:marBottom w:val="0"/>
          <w:divBdr>
            <w:top w:val="none" w:sz="0" w:space="0" w:color="auto"/>
            <w:left w:val="none" w:sz="0" w:space="0" w:color="auto"/>
            <w:bottom w:val="none" w:sz="0" w:space="0" w:color="auto"/>
            <w:right w:val="none" w:sz="0" w:space="0" w:color="auto"/>
          </w:divBdr>
          <w:divsChild>
            <w:div w:id="163401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31662">
      <w:bodyDiv w:val="1"/>
      <w:marLeft w:val="0"/>
      <w:marRight w:val="0"/>
      <w:marTop w:val="0"/>
      <w:marBottom w:val="0"/>
      <w:divBdr>
        <w:top w:val="none" w:sz="0" w:space="0" w:color="auto"/>
        <w:left w:val="none" w:sz="0" w:space="0" w:color="auto"/>
        <w:bottom w:val="none" w:sz="0" w:space="0" w:color="auto"/>
        <w:right w:val="none" w:sz="0" w:space="0" w:color="auto"/>
      </w:divBdr>
      <w:divsChild>
        <w:div w:id="2101019882">
          <w:marLeft w:val="480"/>
          <w:marRight w:val="0"/>
          <w:marTop w:val="0"/>
          <w:marBottom w:val="0"/>
          <w:divBdr>
            <w:top w:val="none" w:sz="0" w:space="0" w:color="auto"/>
            <w:left w:val="none" w:sz="0" w:space="0" w:color="auto"/>
            <w:bottom w:val="none" w:sz="0" w:space="0" w:color="auto"/>
            <w:right w:val="none" w:sz="0" w:space="0" w:color="auto"/>
          </w:divBdr>
          <w:divsChild>
            <w:div w:id="5127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965690">
      <w:bodyDiv w:val="1"/>
      <w:marLeft w:val="0"/>
      <w:marRight w:val="0"/>
      <w:marTop w:val="0"/>
      <w:marBottom w:val="0"/>
      <w:divBdr>
        <w:top w:val="none" w:sz="0" w:space="0" w:color="auto"/>
        <w:left w:val="none" w:sz="0" w:space="0" w:color="auto"/>
        <w:bottom w:val="none" w:sz="0" w:space="0" w:color="auto"/>
        <w:right w:val="none" w:sz="0" w:space="0" w:color="auto"/>
      </w:divBdr>
      <w:divsChild>
        <w:div w:id="900018183">
          <w:marLeft w:val="480"/>
          <w:marRight w:val="0"/>
          <w:marTop w:val="0"/>
          <w:marBottom w:val="0"/>
          <w:divBdr>
            <w:top w:val="none" w:sz="0" w:space="0" w:color="auto"/>
            <w:left w:val="none" w:sz="0" w:space="0" w:color="auto"/>
            <w:bottom w:val="none" w:sz="0" w:space="0" w:color="auto"/>
            <w:right w:val="none" w:sz="0" w:space="0" w:color="auto"/>
          </w:divBdr>
          <w:divsChild>
            <w:div w:id="54953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799617">
      <w:bodyDiv w:val="1"/>
      <w:marLeft w:val="0"/>
      <w:marRight w:val="0"/>
      <w:marTop w:val="0"/>
      <w:marBottom w:val="0"/>
      <w:divBdr>
        <w:top w:val="none" w:sz="0" w:space="0" w:color="auto"/>
        <w:left w:val="none" w:sz="0" w:space="0" w:color="auto"/>
        <w:bottom w:val="none" w:sz="0" w:space="0" w:color="auto"/>
        <w:right w:val="none" w:sz="0" w:space="0" w:color="auto"/>
      </w:divBdr>
      <w:divsChild>
        <w:div w:id="614293501">
          <w:marLeft w:val="480"/>
          <w:marRight w:val="0"/>
          <w:marTop w:val="0"/>
          <w:marBottom w:val="0"/>
          <w:divBdr>
            <w:top w:val="none" w:sz="0" w:space="0" w:color="auto"/>
            <w:left w:val="none" w:sz="0" w:space="0" w:color="auto"/>
            <w:bottom w:val="none" w:sz="0" w:space="0" w:color="auto"/>
            <w:right w:val="none" w:sz="0" w:space="0" w:color="auto"/>
          </w:divBdr>
          <w:divsChild>
            <w:div w:id="1301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237988">
      <w:bodyDiv w:val="1"/>
      <w:marLeft w:val="0"/>
      <w:marRight w:val="0"/>
      <w:marTop w:val="0"/>
      <w:marBottom w:val="0"/>
      <w:divBdr>
        <w:top w:val="none" w:sz="0" w:space="0" w:color="auto"/>
        <w:left w:val="none" w:sz="0" w:space="0" w:color="auto"/>
        <w:bottom w:val="none" w:sz="0" w:space="0" w:color="auto"/>
        <w:right w:val="none" w:sz="0" w:space="0" w:color="auto"/>
      </w:divBdr>
      <w:divsChild>
        <w:div w:id="713971542">
          <w:marLeft w:val="480"/>
          <w:marRight w:val="0"/>
          <w:marTop w:val="0"/>
          <w:marBottom w:val="0"/>
          <w:divBdr>
            <w:top w:val="none" w:sz="0" w:space="0" w:color="auto"/>
            <w:left w:val="none" w:sz="0" w:space="0" w:color="auto"/>
            <w:bottom w:val="none" w:sz="0" w:space="0" w:color="auto"/>
            <w:right w:val="none" w:sz="0" w:space="0" w:color="auto"/>
          </w:divBdr>
          <w:divsChild>
            <w:div w:id="175381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031382">
      <w:bodyDiv w:val="1"/>
      <w:marLeft w:val="0"/>
      <w:marRight w:val="0"/>
      <w:marTop w:val="0"/>
      <w:marBottom w:val="0"/>
      <w:divBdr>
        <w:top w:val="none" w:sz="0" w:space="0" w:color="auto"/>
        <w:left w:val="none" w:sz="0" w:space="0" w:color="auto"/>
        <w:bottom w:val="none" w:sz="0" w:space="0" w:color="auto"/>
        <w:right w:val="none" w:sz="0" w:space="0" w:color="auto"/>
      </w:divBdr>
      <w:divsChild>
        <w:div w:id="1551721586">
          <w:marLeft w:val="480"/>
          <w:marRight w:val="0"/>
          <w:marTop w:val="0"/>
          <w:marBottom w:val="0"/>
          <w:divBdr>
            <w:top w:val="none" w:sz="0" w:space="0" w:color="auto"/>
            <w:left w:val="none" w:sz="0" w:space="0" w:color="auto"/>
            <w:bottom w:val="none" w:sz="0" w:space="0" w:color="auto"/>
            <w:right w:val="none" w:sz="0" w:space="0" w:color="auto"/>
          </w:divBdr>
          <w:divsChild>
            <w:div w:id="34263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997575">
      <w:bodyDiv w:val="1"/>
      <w:marLeft w:val="0"/>
      <w:marRight w:val="0"/>
      <w:marTop w:val="0"/>
      <w:marBottom w:val="0"/>
      <w:divBdr>
        <w:top w:val="none" w:sz="0" w:space="0" w:color="auto"/>
        <w:left w:val="none" w:sz="0" w:space="0" w:color="auto"/>
        <w:bottom w:val="none" w:sz="0" w:space="0" w:color="auto"/>
        <w:right w:val="none" w:sz="0" w:space="0" w:color="auto"/>
      </w:divBdr>
      <w:divsChild>
        <w:div w:id="181747057">
          <w:marLeft w:val="480"/>
          <w:marRight w:val="0"/>
          <w:marTop w:val="0"/>
          <w:marBottom w:val="0"/>
          <w:divBdr>
            <w:top w:val="none" w:sz="0" w:space="0" w:color="auto"/>
            <w:left w:val="none" w:sz="0" w:space="0" w:color="auto"/>
            <w:bottom w:val="none" w:sz="0" w:space="0" w:color="auto"/>
            <w:right w:val="none" w:sz="0" w:space="0" w:color="auto"/>
          </w:divBdr>
          <w:divsChild>
            <w:div w:id="160668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39601">
      <w:bodyDiv w:val="1"/>
      <w:marLeft w:val="0"/>
      <w:marRight w:val="0"/>
      <w:marTop w:val="0"/>
      <w:marBottom w:val="0"/>
      <w:divBdr>
        <w:top w:val="none" w:sz="0" w:space="0" w:color="auto"/>
        <w:left w:val="none" w:sz="0" w:space="0" w:color="auto"/>
        <w:bottom w:val="none" w:sz="0" w:space="0" w:color="auto"/>
        <w:right w:val="none" w:sz="0" w:space="0" w:color="auto"/>
      </w:divBdr>
      <w:divsChild>
        <w:div w:id="289671803">
          <w:marLeft w:val="480"/>
          <w:marRight w:val="0"/>
          <w:marTop w:val="0"/>
          <w:marBottom w:val="0"/>
          <w:divBdr>
            <w:top w:val="none" w:sz="0" w:space="0" w:color="auto"/>
            <w:left w:val="none" w:sz="0" w:space="0" w:color="auto"/>
            <w:bottom w:val="none" w:sz="0" w:space="0" w:color="auto"/>
            <w:right w:val="none" w:sz="0" w:space="0" w:color="auto"/>
          </w:divBdr>
          <w:divsChild>
            <w:div w:id="157990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813381">
      <w:bodyDiv w:val="1"/>
      <w:marLeft w:val="0"/>
      <w:marRight w:val="0"/>
      <w:marTop w:val="0"/>
      <w:marBottom w:val="0"/>
      <w:divBdr>
        <w:top w:val="none" w:sz="0" w:space="0" w:color="auto"/>
        <w:left w:val="none" w:sz="0" w:space="0" w:color="auto"/>
        <w:bottom w:val="none" w:sz="0" w:space="0" w:color="auto"/>
        <w:right w:val="none" w:sz="0" w:space="0" w:color="auto"/>
      </w:divBdr>
      <w:divsChild>
        <w:div w:id="1971279308">
          <w:marLeft w:val="480"/>
          <w:marRight w:val="0"/>
          <w:marTop w:val="0"/>
          <w:marBottom w:val="0"/>
          <w:divBdr>
            <w:top w:val="none" w:sz="0" w:space="0" w:color="auto"/>
            <w:left w:val="none" w:sz="0" w:space="0" w:color="auto"/>
            <w:bottom w:val="none" w:sz="0" w:space="0" w:color="auto"/>
            <w:right w:val="none" w:sz="0" w:space="0" w:color="auto"/>
          </w:divBdr>
          <w:divsChild>
            <w:div w:id="177250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426436">
      <w:bodyDiv w:val="1"/>
      <w:marLeft w:val="0"/>
      <w:marRight w:val="0"/>
      <w:marTop w:val="0"/>
      <w:marBottom w:val="0"/>
      <w:divBdr>
        <w:top w:val="none" w:sz="0" w:space="0" w:color="auto"/>
        <w:left w:val="none" w:sz="0" w:space="0" w:color="auto"/>
        <w:bottom w:val="none" w:sz="0" w:space="0" w:color="auto"/>
        <w:right w:val="none" w:sz="0" w:space="0" w:color="auto"/>
      </w:divBdr>
      <w:divsChild>
        <w:div w:id="1487745222">
          <w:marLeft w:val="480"/>
          <w:marRight w:val="0"/>
          <w:marTop w:val="0"/>
          <w:marBottom w:val="0"/>
          <w:divBdr>
            <w:top w:val="none" w:sz="0" w:space="0" w:color="auto"/>
            <w:left w:val="none" w:sz="0" w:space="0" w:color="auto"/>
            <w:bottom w:val="none" w:sz="0" w:space="0" w:color="auto"/>
            <w:right w:val="none" w:sz="0" w:space="0" w:color="auto"/>
          </w:divBdr>
          <w:divsChild>
            <w:div w:id="81810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661093">
      <w:bodyDiv w:val="1"/>
      <w:marLeft w:val="0"/>
      <w:marRight w:val="0"/>
      <w:marTop w:val="0"/>
      <w:marBottom w:val="0"/>
      <w:divBdr>
        <w:top w:val="none" w:sz="0" w:space="0" w:color="auto"/>
        <w:left w:val="none" w:sz="0" w:space="0" w:color="auto"/>
        <w:bottom w:val="none" w:sz="0" w:space="0" w:color="auto"/>
        <w:right w:val="none" w:sz="0" w:space="0" w:color="auto"/>
      </w:divBdr>
      <w:divsChild>
        <w:div w:id="638998182">
          <w:marLeft w:val="480"/>
          <w:marRight w:val="0"/>
          <w:marTop w:val="0"/>
          <w:marBottom w:val="0"/>
          <w:divBdr>
            <w:top w:val="none" w:sz="0" w:space="0" w:color="auto"/>
            <w:left w:val="none" w:sz="0" w:space="0" w:color="auto"/>
            <w:bottom w:val="none" w:sz="0" w:space="0" w:color="auto"/>
            <w:right w:val="none" w:sz="0" w:space="0" w:color="auto"/>
          </w:divBdr>
          <w:divsChild>
            <w:div w:id="9058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169032">
      <w:bodyDiv w:val="1"/>
      <w:marLeft w:val="0"/>
      <w:marRight w:val="0"/>
      <w:marTop w:val="0"/>
      <w:marBottom w:val="0"/>
      <w:divBdr>
        <w:top w:val="none" w:sz="0" w:space="0" w:color="auto"/>
        <w:left w:val="none" w:sz="0" w:space="0" w:color="auto"/>
        <w:bottom w:val="none" w:sz="0" w:space="0" w:color="auto"/>
        <w:right w:val="none" w:sz="0" w:space="0" w:color="auto"/>
      </w:divBdr>
      <w:divsChild>
        <w:div w:id="1531333645">
          <w:marLeft w:val="480"/>
          <w:marRight w:val="0"/>
          <w:marTop w:val="0"/>
          <w:marBottom w:val="0"/>
          <w:divBdr>
            <w:top w:val="none" w:sz="0" w:space="0" w:color="auto"/>
            <w:left w:val="none" w:sz="0" w:space="0" w:color="auto"/>
            <w:bottom w:val="none" w:sz="0" w:space="0" w:color="auto"/>
            <w:right w:val="none" w:sz="0" w:space="0" w:color="auto"/>
          </w:divBdr>
          <w:divsChild>
            <w:div w:id="33981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887651">
      <w:bodyDiv w:val="1"/>
      <w:marLeft w:val="0"/>
      <w:marRight w:val="0"/>
      <w:marTop w:val="0"/>
      <w:marBottom w:val="0"/>
      <w:divBdr>
        <w:top w:val="none" w:sz="0" w:space="0" w:color="auto"/>
        <w:left w:val="none" w:sz="0" w:space="0" w:color="auto"/>
        <w:bottom w:val="none" w:sz="0" w:space="0" w:color="auto"/>
        <w:right w:val="none" w:sz="0" w:space="0" w:color="auto"/>
      </w:divBdr>
      <w:divsChild>
        <w:div w:id="1297836712">
          <w:marLeft w:val="480"/>
          <w:marRight w:val="0"/>
          <w:marTop w:val="0"/>
          <w:marBottom w:val="0"/>
          <w:divBdr>
            <w:top w:val="none" w:sz="0" w:space="0" w:color="auto"/>
            <w:left w:val="none" w:sz="0" w:space="0" w:color="auto"/>
            <w:bottom w:val="none" w:sz="0" w:space="0" w:color="auto"/>
            <w:right w:val="none" w:sz="0" w:space="0" w:color="auto"/>
          </w:divBdr>
          <w:divsChild>
            <w:div w:id="90040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438196">
      <w:bodyDiv w:val="1"/>
      <w:marLeft w:val="0"/>
      <w:marRight w:val="0"/>
      <w:marTop w:val="0"/>
      <w:marBottom w:val="0"/>
      <w:divBdr>
        <w:top w:val="none" w:sz="0" w:space="0" w:color="auto"/>
        <w:left w:val="none" w:sz="0" w:space="0" w:color="auto"/>
        <w:bottom w:val="none" w:sz="0" w:space="0" w:color="auto"/>
        <w:right w:val="none" w:sz="0" w:space="0" w:color="auto"/>
      </w:divBdr>
      <w:divsChild>
        <w:div w:id="417285544">
          <w:marLeft w:val="480"/>
          <w:marRight w:val="0"/>
          <w:marTop w:val="0"/>
          <w:marBottom w:val="0"/>
          <w:divBdr>
            <w:top w:val="none" w:sz="0" w:space="0" w:color="auto"/>
            <w:left w:val="none" w:sz="0" w:space="0" w:color="auto"/>
            <w:bottom w:val="none" w:sz="0" w:space="0" w:color="auto"/>
            <w:right w:val="none" w:sz="0" w:space="0" w:color="auto"/>
          </w:divBdr>
          <w:divsChild>
            <w:div w:id="131729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371073">
      <w:bodyDiv w:val="1"/>
      <w:marLeft w:val="0"/>
      <w:marRight w:val="0"/>
      <w:marTop w:val="0"/>
      <w:marBottom w:val="0"/>
      <w:divBdr>
        <w:top w:val="none" w:sz="0" w:space="0" w:color="auto"/>
        <w:left w:val="none" w:sz="0" w:space="0" w:color="auto"/>
        <w:bottom w:val="none" w:sz="0" w:space="0" w:color="auto"/>
        <w:right w:val="none" w:sz="0" w:space="0" w:color="auto"/>
      </w:divBdr>
      <w:divsChild>
        <w:div w:id="1933316857">
          <w:marLeft w:val="480"/>
          <w:marRight w:val="0"/>
          <w:marTop w:val="0"/>
          <w:marBottom w:val="0"/>
          <w:divBdr>
            <w:top w:val="none" w:sz="0" w:space="0" w:color="auto"/>
            <w:left w:val="none" w:sz="0" w:space="0" w:color="auto"/>
            <w:bottom w:val="none" w:sz="0" w:space="0" w:color="auto"/>
            <w:right w:val="none" w:sz="0" w:space="0" w:color="auto"/>
          </w:divBdr>
          <w:divsChild>
            <w:div w:id="158498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521070">
      <w:bodyDiv w:val="1"/>
      <w:marLeft w:val="0"/>
      <w:marRight w:val="0"/>
      <w:marTop w:val="0"/>
      <w:marBottom w:val="0"/>
      <w:divBdr>
        <w:top w:val="none" w:sz="0" w:space="0" w:color="auto"/>
        <w:left w:val="none" w:sz="0" w:space="0" w:color="auto"/>
        <w:bottom w:val="none" w:sz="0" w:space="0" w:color="auto"/>
        <w:right w:val="none" w:sz="0" w:space="0" w:color="auto"/>
      </w:divBdr>
      <w:divsChild>
        <w:div w:id="1941447632">
          <w:marLeft w:val="480"/>
          <w:marRight w:val="0"/>
          <w:marTop w:val="0"/>
          <w:marBottom w:val="0"/>
          <w:divBdr>
            <w:top w:val="none" w:sz="0" w:space="0" w:color="auto"/>
            <w:left w:val="none" w:sz="0" w:space="0" w:color="auto"/>
            <w:bottom w:val="none" w:sz="0" w:space="0" w:color="auto"/>
            <w:right w:val="none" w:sz="0" w:space="0" w:color="auto"/>
          </w:divBdr>
          <w:divsChild>
            <w:div w:id="23019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051609">
      <w:bodyDiv w:val="1"/>
      <w:marLeft w:val="0"/>
      <w:marRight w:val="0"/>
      <w:marTop w:val="0"/>
      <w:marBottom w:val="0"/>
      <w:divBdr>
        <w:top w:val="none" w:sz="0" w:space="0" w:color="auto"/>
        <w:left w:val="none" w:sz="0" w:space="0" w:color="auto"/>
        <w:bottom w:val="none" w:sz="0" w:space="0" w:color="auto"/>
        <w:right w:val="none" w:sz="0" w:space="0" w:color="auto"/>
      </w:divBdr>
      <w:divsChild>
        <w:div w:id="440489960">
          <w:marLeft w:val="480"/>
          <w:marRight w:val="0"/>
          <w:marTop w:val="0"/>
          <w:marBottom w:val="0"/>
          <w:divBdr>
            <w:top w:val="none" w:sz="0" w:space="0" w:color="auto"/>
            <w:left w:val="none" w:sz="0" w:space="0" w:color="auto"/>
            <w:bottom w:val="none" w:sz="0" w:space="0" w:color="auto"/>
            <w:right w:val="none" w:sz="0" w:space="0" w:color="auto"/>
          </w:divBdr>
          <w:divsChild>
            <w:div w:id="2075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own.edu/campus-life/support/accessibility-services/" TargetMode="External"/><Relationship Id="rId13" Type="http://schemas.openxmlformats.org/officeDocument/2006/relationships/hyperlink" Target="https://www.brown.edu/sheridan/programs-services/writing/writing-center" TargetMode="External"/><Relationship Id="rId18" Type="http://schemas.openxmlformats.org/officeDocument/2006/relationships/hyperlink" Target="https://electionstudies.org/wp-content/uploads/2022/08/anes_timeseries_2020_methodology_report.pdf"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college.brown.edu/design-your-education/academic-policies/academic-code" TargetMode="External"/><Relationship Id="rId12" Type="http://schemas.openxmlformats.org/officeDocument/2006/relationships/hyperlink" Target="mailto:graduate_school@brown.edu" TargetMode="External"/><Relationship Id="rId17" Type="http://schemas.openxmlformats.org/officeDocument/2006/relationships/hyperlink" Target="https://www.afrobarometer.org/surveys-and-methods/" TargetMode="External"/><Relationship Id="rId2" Type="http://schemas.openxmlformats.org/officeDocument/2006/relationships/styles" Target="styles.xml"/><Relationship Id="rId16" Type="http://schemas.openxmlformats.org/officeDocument/2006/relationships/hyperlink" Target="https://www.aapor.org/Education-Resources/Reports/An-Evaluation-of-2016-Election-Polls-in-the-U-S.aspx" TargetMode="External"/><Relationship Id="rId20" Type="http://schemas.openxmlformats.org/officeDocument/2006/relationships/hyperlink" Target="https://writingcenter.unc.edu/tips-and-tools/grant-proposals-or-give-me-the-mone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llege@brown.edu"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caps.brown.edu/" TargetMode="External"/><Relationship Id="rId23" Type="http://schemas.openxmlformats.org/officeDocument/2006/relationships/fontTable" Target="fontTable.xml"/><Relationship Id="rId10" Type="http://schemas.openxmlformats.org/officeDocument/2006/relationships/hyperlink" Target="https://www.brown.edu/academics/college/academicadvisinghours" TargetMode="External"/><Relationship Id="rId19" Type="http://schemas.openxmlformats.org/officeDocument/2006/relationships/hyperlink" Target="https://papers.ssrn.com/abstract=4466346" TargetMode="External"/><Relationship Id="rId4" Type="http://schemas.openxmlformats.org/officeDocument/2006/relationships/webSettings" Target="webSettings.xml"/><Relationship Id="rId9" Type="http://schemas.openxmlformats.org/officeDocument/2006/relationships/hyperlink" Target="mailto:seas@brown.edu" TargetMode="External"/><Relationship Id="rId14" Type="http://schemas.openxmlformats.org/officeDocument/2006/relationships/hyperlink" Target="https://www.brown.edu/offices/student-support/student-support-services"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7</Pages>
  <Words>2548</Words>
  <Characters>13939</Characters>
  <Application>Microsoft Office Word</Application>
  <DocSecurity>0</DocSecurity>
  <Lines>236</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 Levy</dc:creator>
  <cp:keywords/>
  <dc:description/>
  <cp:lastModifiedBy>Levy, Gabriella</cp:lastModifiedBy>
  <cp:revision>24</cp:revision>
  <dcterms:created xsi:type="dcterms:W3CDTF">2021-06-30T19:35:00Z</dcterms:created>
  <dcterms:modified xsi:type="dcterms:W3CDTF">2023-08-18T14:43:00Z</dcterms:modified>
</cp:coreProperties>
</file>